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6186" w14:textId="0E555EF5" w:rsidR="00785731" w:rsidRPr="006442B0" w:rsidRDefault="00785731" w:rsidP="00785731">
      <w:pPr>
        <w:pStyle w:val="Ttulo"/>
        <w:spacing w:before="0" w:beforeAutospacing="0" w:after="0" w:afterAutospacing="0"/>
        <w:jc w:val="center"/>
        <w:rPr>
          <w:rFonts w:ascii="Calibri" w:hAnsi="Calibri" w:cs="Calibri"/>
        </w:rPr>
      </w:pPr>
      <w:r w:rsidRPr="006442B0">
        <w:rPr>
          <w:rFonts w:ascii="Calibri" w:hAnsi="Calibri" w:cs="Calibri"/>
          <w:b/>
          <w:bCs/>
        </w:rPr>
        <w:t>ATO Nº. 00</w:t>
      </w:r>
      <w:r>
        <w:rPr>
          <w:rFonts w:ascii="Calibri" w:hAnsi="Calibri" w:cs="Calibri"/>
          <w:b/>
          <w:bCs/>
        </w:rPr>
        <w:t>5</w:t>
      </w:r>
      <w:r w:rsidRPr="006442B0">
        <w:rPr>
          <w:rFonts w:ascii="Calibri" w:hAnsi="Calibri" w:cs="Calibri"/>
          <w:b/>
          <w:bCs/>
        </w:rPr>
        <w:t>/2023</w:t>
      </w:r>
      <w:r w:rsidRPr="006442B0">
        <w:rPr>
          <w:rFonts w:ascii="Calibri" w:hAnsi="Calibri" w:cs="Calibri"/>
        </w:rPr>
        <w:t>.</w:t>
      </w:r>
    </w:p>
    <w:p w14:paraId="0B8F0908" w14:textId="33902521" w:rsidR="002D7B54" w:rsidRPr="00B57F9C" w:rsidRDefault="002D7B54" w:rsidP="002D7B54">
      <w:pPr>
        <w:spacing w:before="120" w:line="276" w:lineRule="auto"/>
        <w:ind w:left="3402"/>
        <w:jc w:val="both"/>
        <w:rPr>
          <w:rFonts w:ascii="Palatino Linotype" w:hAnsi="Palatino Linotype"/>
          <w:sz w:val="24"/>
          <w:szCs w:val="24"/>
        </w:rPr>
      </w:pPr>
      <w:r w:rsidRPr="00B57F9C">
        <w:rPr>
          <w:rFonts w:ascii="Palatino Linotype" w:hAnsi="Palatino Linotype"/>
          <w:sz w:val="24"/>
          <w:szCs w:val="24"/>
        </w:rPr>
        <w:t xml:space="preserve">Regulamenta, em face do art. 191 da Lei nº 14.133, de 2021, o regime de transição entre as Leis números </w:t>
      </w:r>
      <w:r w:rsidRPr="00B57F9C">
        <w:rPr>
          <w:rFonts w:ascii="Palatino Linotype" w:hAnsi="Palatino Linotype"/>
          <w:color w:val="000000"/>
          <w:sz w:val="24"/>
          <w:szCs w:val="24"/>
        </w:rPr>
        <w:t>8.666, de 1993, 10.520, de 2002 e 12.462, de 2011</w:t>
      </w:r>
      <w:r w:rsidR="009722D0" w:rsidRPr="00B57F9C">
        <w:rPr>
          <w:rFonts w:ascii="Palatino Linotype" w:hAnsi="Palatino Linotype"/>
          <w:color w:val="000000"/>
          <w:sz w:val="24"/>
          <w:szCs w:val="24"/>
        </w:rPr>
        <w:t>,</w:t>
      </w:r>
      <w:r w:rsidRPr="00B57F9C">
        <w:rPr>
          <w:rFonts w:ascii="Palatino Linotype" w:hAnsi="Palatino Linotype"/>
          <w:color w:val="000000"/>
          <w:sz w:val="24"/>
          <w:szCs w:val="24"/>
        </w:rPr>
        <w:t xml:space="preserve"> no âmbito do Poder Legislativo de Nova Guarita </w:t>
      </w:r>
      <w:r w:rsidRPr="00B57F9C">
        <w:rPr>
          <w:rFonts w:ascii="Palatino Linotype" w:hAnsi="Palatino Linotype"/>
          <w:sz w:val="24"/>
          <w:szCs w:val="24"/>
        </w:rPr>
        <w:t>e dá outas providências.</w:t>
      </w:r>
    </w:p>
    <w:p w14:paraId="095A35BA" w14:textId="77777777" w:rsidR="002D7B54" w:rsidRPr="00B57F9C" w:rsidRDefault="002D7B54" w:rsidP="002D7B54">
      <w:pPr>
        <w:spacing w:before="120" w:line="276" w:lineRule="auto"/>
        <w:ind w:left="3402"/>
        <w:jc w:val="both"/>
        <w:rPr>
          <w:rFonts w:ascii="Palatino Linotype" w:hAnsi="Palatino Linotype"/>
          <w:sz w:val="24"/>
          <w:szCs w:val="24"/>
        </w:rPr>
      </w:pPr>
    </w:p>
    <w:p w14:paraId="1262C25B" w14:textId="5F21B985" w:rsidR="002D7B54" w:rsidRPr="00B57F9C" w:rsidRDefault="00785731" w:rsidP="002D7B54">
      <w:pPr>
        <w:spacing w:before="120" w:after="120" w:line="276" w:lineRule="auto"/>
        <w:ind w:firstLine="851"/>
        <w:jc w:val="both"/>
        <w:rPr>
          <w:rFonts w:ascii="Palatino Linotype" w:eastAsiaTheme="minorHAnsi" w:hAnsi="Palatino Linotype" w:cs="Times New Roman"/>
          <w:color w:val="000000"/>
          <w:sz w:val="24"/>
          <w:szCs w:val="24"/>
          <w:lang w:eastAsia="en-US"/>
        </w:rPr>
      </w:pPr>
      <w:r>
        <w:rPr>
          <w:rFonts w:ascii="Palatino Linotype" w:eastAsiaTheme="minorHAnsi" w:hAnsi="Palatino Linotype" w:cs="Times New Roman"/>
          <w:b/>
          <w:bCs/>
          <w:color w:val="000000"/>
          <w:sz w:val="24"/>
          <w:szCs w:val="24"/>
          <w:lang w:eastAsia="en-US"/>
        </w:rPr>
        <w:t>DIVINO PEREIRA GOMES</w:t>
      </w:r>
      <w:r w:rsidR="002D7B54" w:rsidRPr="00B57F9C">
        <w:rPr>
          <w:rFonts w:ascii="Palatino Linotype" w:eastAsiaTheme="minorHAnsi" w:hAnsi="Palatino Linotype" w:cs="Times New Roman"/>
          <w:b/>
          <w:bCs/>
          <w:color w:val="000000"/>
          <w:sz w:val="24"/>
          <w:szCs w:val="24"/>
          <w:lang w:eastAsia="en-US"/>
        </w:rPr>
        <w:t>, PRESIDENTE DA CÂMARA MUNICIPAL DE NOVA GUARITA</w:t>
      </w:r>
      <w:r w:rsidR="002D7B54" w:rsidRPr="00B57F9C">
        <w:rPr>
          <w:rFonts w:ascii="Palatino Linotype" w:eastAsiaTheme="minorHAnsi" w:hAnsi="Palatino Linotype" w:cs="Times New Roman"/>
          <w:color w:val="000000"/>
          <w:sz w:val="24"/>
          <w:szCs w:val="24"/>
          <w:lang w:eastAsia="en-US"/>
        </w:rPr>
        <w:t>, Estado de Mato Grosso, no uso das atribuições que lhe são conferidas pelo Regimento Interno desta Casa Legislativa e, ainda,</w:t>
      </w:r>
    </w:p>
    <w:p w14:paraId="17BDE080" w14:textId="77777777" w:rsidR="002D7B54" w:rsidRPr="00B57F9C" w:rsidRDefault="002D7B54" w:rsidP="002D7B54">
      <w:pPr>
        <w:spacing w:before="120" w:line="276" w:lineRule="auto"/>
        <w:ind w:firstLine="851"/>
        <w:jc w:val="both"/>
        <w:rPr>
          <w:rFonts w:ascii="Palatino Linotype" w:hAnsi="Palatino Linotype"/>
          <w:color w:val="000000"/>
          <w:sz w:val="24"/>
          <w:szCs w:val="24"/>
        </w:rPr>
      </w:pPr>
      <w:r w:rsidRPr="00B57F9C">
        <w:rPr>
          <w:rFonts w:ascii="Palatino Linotype" w:hAnsi="Palatino Linotype"/>
          <w:sz w:val="24"/>
          <w:szCs w:val="24"/>
        </w:rPr>
        <w:t>CONSIDERANDO que o art. 191 da Lei nº 14.133, de 2021 estabelece que a</w:t>
      </w:r>
      <w:r w:rsidRPr="00B57F9C">
        <w:rPr>
          <w:rFonts w:ascii="Palatino Linotype" w:hAnsi="Palatino Linotype"/>
          <w:color w:val="000000"/>
          <w:sz w:val="24"/>
          <w:szCs w:val="24"/>
        </w:rPr>
        <w:t>té o decurso do prazo de que trata o </w:t>
      </w:r>
      <w:hyperlink r:id="rId6" w:anchor="art193ii" w:history="1">
        <w:r w:rsidRPr="00B57F9C">
          <w:rPr>
            <w:rStyle w:val="Hyperlink"/>
            <w:rFonts w:ascii="Palatino Linotype" w:hAnsi="Palatino Linotype"/>
            <w:color w:val="auto"/>
            <w:sz w:val="24"/>
            <w:szCs w:val="24"/>
            <w:u w:val="none"/>
          </w:rPr>
          <w:t>inciso II do </w:t>
        </w:r>
        <w:r w:rsidRPr="00B57F9C">
          <w:rPr>
            <w:rStyle w:val="Hyperlink"/>
            <w:rFonts w:ascii="Palatino Linotype" w:hAnsi="Palatino Linotype"/>
            <w:i/>
            <w:iCs/>
            <w:color w:val="auto"/>
            <w:sz w:val="24"/>
            <w:szCs w:val="24"/>
            <w:u w:val="none"/>
          </w:rPr>
          <w:t>caput</w:t>
        </w:r>
        <w:r w:rsidRPr="00B57F9C">
          <w:rPr>
            <w:rStyle w:val="Hyperlink"/>
            <w:rFonts w:ascii="Palatino Linotype" w:hAnsi="Palatino Linotype"/>
            <w:color w:val="auto"/>
            <w:sz w:val="24"/>
            <w:szCs w:val="24"/>
            <w:u w:val="none"/>
          </w:rPr>
          <w:t> do art. 193</w:t>
        </w:r>
      </w:hyperlink>
      <w:r w:rsidRPr="00B57F9C">
        <w:rPr>
          <w:rFonts w:ascii="Palatino Linotype" w:hAnsi="Palatino Linotype"/>
          <w:sz w:val="24"/>
          <w:szCs w:val="24"/>
        </w:rPr>
        <w:t xml:space="preserve">, </w:t>
      </w:r>
      <w:r w:rsidRPr="00B57F9C">
        <w:rPr>
          <w:rFonts w:ascii="Palatino Linotype" w:hAnsi="Palatino Linotype"/>
          <w:color w:val="000000"/>
          <w:sz w:val="24"/>
          <w:szCs w:val="24"/>
        </w:rPr>
        <w:t>a Administração poderá optar por licitar ou contratar diretamente de acordo  a Lei nº 14.133, de 2021 ou de acordo com as leis números 8.666, de 1993, 10.520, de 2002 e 12.462, de 2011, e a opção escolhida deverá ser indicada expressamente no edital ou no aviso ou instrumento de contratação direta, vedada a aplicação combinada das referidas leis;</w:t>
      </w:r>
    </w:p>
    <w:p w14:paraId="6A5A40C6" w14:textId="77777777" w:rsidR="002D7B54" w:rsidRPr="00B57F9C" w:rsidRDefault="002D7B54" w:rsidP="002D7B54">
      <w:pPr>
        <w:spacing w:before="120" w:line="276" w:lineRule="auto"/>
        <w:ind w:firstLine="851"/>
        <w:jc w:val="both"/>
        <w:rPr>
          <w:rFonts w:ascii="Palatino Linotype" w:hAnsi="Palatino Linotype"/>
          <w:color w:val="000000"/>
          <w:sz w:val="24"/>
          <w:szCs w:val="24"/>
        </w:rPr>
      </w:pPr>
      <w:r w:rsidRPr="00B57F9C">
        <w:rPr>
          <w:rFonts w:ascii="Palatino Linotype" w:hAnsi="Palatino Linotype"/>
          <w:color w:val="000000"/>
          <w:sz w:val="24"/>
          <w:szCs w:val="24"/>
        </w:rPr>
        <w:t xml:space="preserve">CONSIDERANDO que a expressão – </w:t>
      </w:r>
      <w:r w:rsidRPr="00B57F9C">
        <w:rPr>
          <w:rFonts w:ascii="Palatino Linotype" w:hAnsi="Palatino Linotype"/>
          <w:i/>
          <w:iCs/>
          <w:color w:val="000000"/>
          <w:sz w:val="24"/>
          <w:szCs w:val="24"/>
        </w:rPr>
        <w:t>poderá optar por licitar ou contratar</w:t>
      </w:r>
      <w:r w:rsidRPr="00B57F9C">
        <w:rPr>
          <w:rFonts w:ascii="Palatino Linotype" w:hAnsi="Palatino Linotype"/>
          <w:color w:val="000000"/>
          <w:sz w:val="24"/>
          <w:szCs w:val="24"/>
        </w:rPr>
        <w:t xml:space="preserve"> – constante do art. 191 da Lei nº 14.133, de 2021, tem caráter indeterminado, tendo em vista que não define um limite para a referida opção e nem qual ato determinará o termo final para o exercício da opção;</w:t>
      </w:r>
    </w:p>
    <w:p w14:paraId="2373E790" w14:textId="77777777" w:rsidR="002D7B54" w:rsidRPr="00B57F9C" w:rsidRDefault="002D7B54" w:rsidP="002D7B54">
      <w:pPr>
        <w:spacing w:before="120" w:line="276" w:lineRule="auto"/>
        <w:ind w:firstLine="851"/>
        <w:jc w:val="both"/>
        <w:rPr>
          <w:rFonts w:ascii="Palatino Linotype" w:hAnsi="Palatino Linotype"/>
          <w:color w:val="000000"/>
          <w:sz w:val="24"/>
          <w:szCs w:val="24"/>
          <w:shd w:val="clear" w:color="auto" w:fill="FFFFFF"/>
        </w:rPr>
      </w:pPr>
      <w:r w:rsidRPr="00B57F9C">
        <w:rPr>
          <w:rFonts w:ascii="Palatino Linotype" w:hAnsi="Palatino Linotype"/>
          <w:color w:val="000000"/>
          <w:sz w:val="24"/>
          <w:szCs w:val="24"/>
        </w:rPr>
        <w:t xml:space="preserve">CONSIDERANDO que o art. 23 do Decreto-Lei nº 4.657, de 1942, com redação dada pela Lei nº 13.655, de 2018, aponta a necessidade de um regime de transição sempre </w:t>
      </w:r>
      <w:r w:rsidRPr="00B57F9C">
        <w:rPr>
          <w:rFonts w:ascii="Palatino Linotype" w:hAnsi="Palatino Linotype"/>
          <w:color w:val="000000"/>
          <w:sz w:val="24"/>
          <w:szCs w:val="24"/>
          <w:shd w:val="clear" w:color="auto" w:fill="FFFFFF"/>
        </w:rPr>
        <w:t>que se estabelecer interpretação ou orientação nova sobre norma de conteúdo indeterminado, impondo novo dever ou novo condicionamento de direito, especialmente quando indispensável para que o novo dever ou condicionamento de direito seja cumprido de modo proporcional, equânime e eficiente e sem prejuízo aos interesses gerais;</w:t>
      </w:r>
    </w:p>
    <w:p w14:paraId="30874DEA" w14:textId="77777777" w:rsidR="002D7B54" w:rsidRPr="00B57F9C" w:rsidRDefault="002D7B54" w:rsidP="002D7B54">
      <w:pPr>
        <w:spacing w:before="120" w:line="276" w:lineRule="auto"/>
        <w:ind w:firstLine="851"/>
        <w:jc w:val="both"/>
        <w:rPr>
          <w:rFonts w:ascii="Palatino Linotype" w:hAnsi="Palatino Linotype"/>
          <w:color w:val="000000"/>
          <w:sz w:val="24"/>
          <w:szCs w:val="24"/>
          <w:shd w:val="clear" w:color="auto" w:fill="FFFFFF"/>
        </w:rPr>
      </w:pPr>
      <w:r w:rsidRPr="00B57F9C">
        <w:rPr>
          <w:rFonts w:ascii="Palatino Linotype" w:hAnsi="Palatino Linotype"/>
          <w:color w:val="000000"/>
          <w:sz w:val="24"/>
          <w:szCs w:val="24"/>
          <w:shd w:val="clear" w:color="auto" w:fill="FFFFFF"/>
        </w:rPr>
        <w:lastRenderedPageBreak/>
        <w:t>CONSIDERANDO que em 01 de abril de 2023, conforme preconiza o art. 193, inciso II da Lei nº 14.133, de 2021, restarão revogadas as Leis números 8.666, de 1993, 10.520, de 2002 e 12.462, de 2011;</w:t>
      </w:r>
    </w:p>
    <w:p w14:paraId="51C4D23D" w14:textId="77777777" w:rsidR="002D7B54" w:rsidRPr="00B57F9C" w:rsidRDefault="002D7B54" w:rsidP="002D7B54">
      <w:pPr>
        <w:spacing w:before="120" w:line="276" w:lineRule="auto"/>
        <w:ind w:firstLine="851"/>
        <w:jc w:val="both"/>
        <w:rPr>
          <w:rFonts w:ascii="Palatino Linotype" w:hAnsi="Palatino Linotype"/>
          <w:color w:val="000000"/>
          <w:sz w:val="24"/>
          <w:szCs w:val="24"/>
          <w:shd w:val="clear" w:color="auto" w:fill="FFFFFF"/>
        </w:rPr>
      </w:pPr>
      <w:r w:rsidRPr="00B57F9C">
        <w:rPr>
          <w:rFonts w:ascii="Palatino Linotype" w:hAnsi="Palatino Linotype"/>
          <w:color w:val="000000"/>
          <w:sz w:val="24"/>
          <w:szCs w:val="24"/>
          <w:shd w:val="clear" w:color="auto" w:fill="FFFFFF"/>
        </w:rPr>
        <w:t>CONSIDERANDO que o art. 30 da Decreto-Lei nº 4.657, de 1942, com redação dada pela Lei nº 13.655, de 2018, estabelece que as autoridades públicas devem atuar para aumentar a segurança jurídica na aplicação das normas, inclusive por meio de regulamentos, súmulas administrativas e respostas a consultas, que terão caráter vinculante em relação ao órgão ou entidade a que se destinam, até ulterior revisão;</w:t>
      </w:r>
    </w:p>
    <w:p w14:paraId="06C24BE6" w14:textId="77777777" w:rsidR="002D7B54" w:rsidRPr="00B57F9C" w:rsidRDefault="002D7B54" w:rsidP="002D7B54">
      <w:pPr>
        <w:spacing w:before="120" w:line="276" w:lineRule="auto"/>
        <w:ind w:firstLine="851"/>
        <w:jc w:val="both"/>
        <w:rPr>
          <w:rFonts w:ascii="Palatino Linotype" w:hAnsi="Palatino Linotype"/>
          <w:sz w:val="24"/>
          <w:szCs w:val="24"/>
          <w:shd w:val="clear" w:color="auto" w:fill="FFFFFF"/>
        </w:rPr>
      </w:pPr>
      <w:r w:rsidRPr="00B57F9C">
        <w:rPr>
          <w:rFonts w:ascii="Palatino Linotype" w:hAnsi="Palatino Linotype"/>
          <w:sz w:val="24"/>
          <w:szCs w:val="24"/>
        </w:rPr>
        <w:t>CONSIDERANTO o teor da Comunicado nº 10/2022 da Secretária de Gestão</w:t>
      </w:r>
      <w:r w:rsidRPr="00B57F9C">
        <w:rPr>
          <w:rFonts w:ascii="Palatino Linotype" w:hAnsi="Palatino Linotype"/>
          <w:sz w:val="24"/>
          <w:szCs w:val="24"/>
          <w:shd w:val="clear" w:color="auto" w:fill="FFFFFF"/>
        </w:rPr>
        <w:t>, órgão central do Sistema de Serviços Gerais (Sisg), que assim comunicou aos órgãos e entidades da Administração Pública federal direta, autárquica e fundacional, em atenção ao disposto no art. 191 e no inciso II do art. 193 da Lei nº 14.133, de 2021, que o Sistema de Compras do Governo Federal, </w:t>
      </w:r>
      <w:r w:rsidRPr="00B57F9C">
        <w:rPr>
          <w:rFonts w:ascii="Palatino Linotype" w:hAnsi="Palatino Linotype"/>
          <w:sz w:val="24"/>
          <w:szCs w:val="24"/>
          <w:bdr w:val="none" w:sz="0" w:space="0" w:color="auto" w:frame="1"/>
          <w:shd w:val="clear" w:color="auto" w:fill="FFFFFF"/>
        </w:rPr>
        <w:t>a contar do dia 31 de março de 2023,</w:t>
      </w:r>
      <w:r w:rsidRPr="00B57F9C">
        <w:rPr>
          <w:rFonts w:ascii="Palatino Linotype" w:hAnsi="Palatino Linotype"/>
          <w:sz w:val="24"/>
          <w:szCs w:val="24"/>
          <w:shd w:val="clear" w:color="auto" w:fill="FFFFFF"/>
        </w:rPr>
        <w:t> estará configurado para recepcionar </w:t>
      </w:r>
      <w:r w:rsidRPr="00B57F9C">
        <w:rPr>
          <w:rFonts w:ascii="Palatino Linotype" w:hAnsi="Palatino Linotype"/>
          <w:sz w:val="24"/>
          <w:szCs w:val="24"/>
          <w:bdr w:val="none" w:sz="0" w:space="0" w:color="auto" w:frame="1"/>
          <w:shd w:val="clear" w:color="auto" w:fill="FFFFFF"/>
        </w:rPr>
        <w:t>somente as licitações e contratações diretas à luz da Lei 14.133, de 2021 (e demais leis específicas)</w:t>
      </w:r>
      <w:r w:rsidRPr="00B57F9C">
        <w:rPr>
          <w:rFonts w:ascii="Palatino Linotype" w:hAnsi="Palatino Linotype"/>
          <w:sz w:val="24"/>
          <w:szCs w:val="24"/>
          <w:shd w:val="clear" w:color="auto" w:fill="FFFFFF"/>
        </w:rPr>
        <w:t>, considerando o exaurimento temporal da eficácia jurídica-normativa das Leis nº 8.666, de 1993, nº 10.520, de 2002, e os arts. 1º a 47-A da Lei nº 12.462, de 2011;</w:t>
      </w:r>
    </w:p>
    <w:p w14:paraId="66E672F2" w14:textId="77777777" w:rsidR="002D7B54" w:rsidRPr="00B57F9C" w:rsidRDefault="002D7B54" w:rsidP="002D7B54">
      <w:pPr>
        <w:spacing w:before="120" w:line="276" w:lineRule="auto"/>
        <w:ind w:firstLine="851"/>
        <w:jc w:val="both"/>
        <w:rPr>
          <w:rFonts w:ascii="Palatino Linotype" w:hAnsi="Palatino Linotype"/>
          <w:sz w:val="24"/>
          <w:szCs w:val="24"/>
          <w:shd w:val="clear" w:color="auto" w:fill="FFFFFF"/>
        </w:rPr>
      </w:pPr>
      <w:r w:rsidRPr="00B57F9C">
        <w:rPr>
          <w:rFonts w:ascii="Palatino Linotype" w:hAnsi="Palatino Linotype"/>
          <w:sz w:val="24"/>
          <w:szCs w:val="24"/>
          <w:shd w:val="clear" w:color="auto" w:fill="FFFFFF"/>
        </w:rPr>
        <w:t xml:space="preserve">COSIDERANDO o disposto na </w:t>
      </w:r>
      <w:r w:rsidRPr="00B57F9C">
        <w:rPr>
          <w:rFonts w:ascii="Palatino Linotype" w:hAnsi="Palatino Linotype"/>
          <w:sz w:val="24"/>
          <w:szCs w:val="24"/>
        </w:rPr>
        <w:t>PORTARIA SEGES/MGI Nº 720, DE 15 DE MARÇO DE 2023, que fixa regras de transição no âmbito da Administração Pública federal direta, autárquica e fundacional.</w:t>
      </w:r>
    </w:p>
    <w:p w14:paraId="31D49731" w14:textId="4EF49E3B" w:rsidR="002D7B54" w:rsidRPr="00B57F9C" w:rsidRDefault="002D7B54" w:rsidP="002D7B54">
      <w:pPr>
        <w:spacing w:before="120" w:line="276" w:lineRule="auto"/>
        <w:ind w:firstLine="851"/>
        <w:jc w:val="both"/>
        <w:rPr>
          <w:rFonts w:ascii="Palatino Linotype" w:eastAsia="Century Gothic" w:hAnsi="Palatino Linotype"/>
          <w:sz w:val="24"/>
          <w:szCs w:val="24"/>
        </w:rPr>
      </w:pPr>
      <w:r w:rsidRPr="00B57F9C">
        <w:rPr>
          <w:rFonts w:ascii="Palatino Linotype" w:eastAsia="Century Gothic" w:hAnsi="Palatino Linotype"/>
          <w:sz w:val="24"/>
          <w:szCs w:val="24"/>
        </w:rPr>
        <w:t>CONSIDERANDO a necessidade de transmitir segurança jurídica aos Agentes Públicos e todos os demais envolvidos nos processos e procedimentos de contratações da Câmara Municipal de Nova Guarita,</w:t>
      </w:r>
      <w:r w:rsidRPr="00B57F9C">
        <w:rPr>
          <w:rFonts w:ascii="Palatino Linotype" w:eastAsia="Century Gothic" w:hAnsi="Palatino Linotype"/>
          <w:sz w:val="24"/>
          <w:szCs w:val="24"/>
        </w:rPr>
        <w:tab/>
      </w:r>
    </w:p>
    <w:p w14:paraId="43B8EE25" w14:textId="77777777" w:rsidR="002D7B54" w:rsidRPr="00B57F9C" w:rsidRDefault="002D7B54" w:rsidP="002D7B54">
      <w:pPr>
        <w:spacing w:before="120" w:line="276" w:lineRule="auto"/>
        <w:ind w:firstLine="851"/>
        <w:jc w:val="both"/>
        <w:rPr>
          <w:rFonts w:ascii="Palatino Linotype" w:eastAsia="Times New Roman" w:hAnsi="Palatino Linotype"/>
          <w:sz w:val="24"/>
          <w:szCs w:val="24"/>
        </w:rPr>
      </w:pPr>
      <w:r w:rsidRPr="00B57F9C">
        <w:rPr>
          <w:rFonts w:ascii="Palatino Linotype" w:eastAsia="Times New Roman" w:hAnsi="Palatino Linotype"/>
          <w:b/>
          <w:bCs/>
          <w:sz w:val="24"/>
          <w:szCs w:val="24"/>
        </w:rPr>
        <w:t>DECRETA:</w:t>
      </w:r>
      <w:r w:rsidRPr="00B57F9C">
        <w:rPr>
          <w:rFonts w:ascii="Palatino Linotype" w:eastAsia="Times New Roman" w:hAnsi="Palatino Linotype"/>
          <w:sz w:val="24"/>
          <w:szCs w:val="24"/>
        </w:rPr>
        <w:t> </w:t>
      </w:r>
    </w:p>
    <w:p w14:paraId="2894D5E3" w14:textId="77777777" w:rsidR="002D7B54" w:rsidRPr="00B57F9C" w:rsidRDefault="002D7B54" w:rsidP="002D7B54">
      <w:pPr>
        <w:spacing w:before="120" w:line="276" w:lineRule="auto"/>
        <w:ind w:firstLine="567"/>
        <w:jc w:val="center"/>
        <w:rPr>
          <w:rFonts w:ascii="Palatino Linotype" w:eastAsia="Times New Roman" w:hAnsi="Palatino Linotype"/>
          <w:b/>
          <w:bCs/>
          <w:sz w:val="24"/>
          <w:szCs w:val="24"/>
        </w:rPr>
      </w:pPr>
      <w:r w:rsidRPr="00B57F9C">
        <w:rPr>
          <w:rFonts w:ascii="Palatino Linotype" w:eastAsia="Times New Roman" w:hAnsi="Palatino Linotype"/>
          <w:b/>
          <w:bCs/>
          <w:sz w:val="24"/>
          <w:szCs w:val="24"/>
        </w:rPr>
        <w:t>CAPÍTULO I</w:t>
      </w:r>
    </w:p>
    <w:p w14:paraId="70DE3423" w14:textId="77777777" w:rsidR="002D7B54" w:rsidRPr="00B57F9C" w:rsidRDefault="002D7B54" w:rsidP="002D7B54">
      <w:pPr>
        <w:spacing w:before="120" w:line="276" w:lineRule="auto"/>
        <w:ind w:firstLine="567"/>
        <w:jc w:val="center"/>
        <w:rPr>
          <w:rFonts w:ascii="Palatino Linotype" w:eastAsia="Times New Roman" w:hAnsi="Palatino Linotype"/>
          <w:b/>
          <w:bCs/>
          <w:sz w:val="24"/>
          <w:szCs w:val="24"/>
        </w:rPr>
      </w:pPr>
      <w:r w:rsidRPr="00B57F9C">
        <w:rPr>
          <w:rFonts w:ascii="Palatino Linotype" w:eastAsia="Times New Roman" w:hAnsi="Palatino Linotype"/>
          <w:b/>
          <w:bCs/>
          <w:sz w:val="24"/>
          <w:szCs w:val="24"/>
        </w:rPr>
        <w:t>DISPOSIÇÕES PRELIMINARES </w:t>
      </w:r>
    </w:p>
    <w:p w14:paraId="17831848" w14:textId="77777777" w:rsidR="002D7B54" w:rsidRPr="00B57F9C" w:rsidRDefault="002D7B54" w:rsidP="002D7B54">
      <w:pPr>
        <w:spacing w:before="120" w:line="276" w:lineRule="auto"/>
        <w:jc w:val="both"/>
        <w:rPr>
          <w:rFonts w:ascii="Palatino Linotype" w:eastAsia="Times New Roman" w:hAnsi="Palatino Linotype"/>
          <w:sz w:val="24"/>
          <w:szCs w:val="24"/>
        </w:rPr>
      </w:pPr>
      <w:r w:rsidRPr="00B57F9C">
        <w:rPr>
          <w:rFonts w:ascii="Palatino Linotype" w:eastAsia="Times New Roman" w:hAnsi="Palatino Linotype"/>
          <w:b/>
          <w:bCs/>
          <w:sz w:val="24"/>
          <w:szCs w:val="24"/>
        </w:rPr>
        <w:t>Objeto e âmbito de aplicação</w:t>
      </w:r>
    </w:p>
    <w:p w14:paraId="1B47357C" w14:textId="04EB7822" w:rsidR="002D7B54" w:rsidRPr="00B57F9C" w:rsidRDefault="00DA1804" w:rsidP="002D7B54">
      <w:pPr>
        <w:spacing w:before="120" w:line="276" w:lineRule="auto"/>
        <w:ind w:firstLine="851"/>
        <w:jc w:val="both"/>
        <w:rPr>
          <w:rFonts w:ascii="Palatino Linotype" w:eastAsia="Times New Roman" w:hAnsi="Palatino Linotype"/>
          <w:sz w:val="24"/>
          <w:szCs w:val="24"/>
        </w:rPr>
      </w:pPr>
      <w:r>
        <w:rPr>
          <w:rFonts w:ascii="Palatino Linotype" w:eastAsia="Times New Roman" w:hAnsi="Palatino Linotype"/>
          <w:sz w:val="24"/>
          <w:szCs w:val="24"/>
        </w:rPr>
        <w:lastRenderedPageBreak/>
        <w:t>Art. 1º  Este Ato</w:t>
      </w:r>
      <w:r w:rsidR="002D7B54" w:rsidRPr="00B57F9C">
        <w:rPr>
          <w:rFonts w:ascii="Palatino Linotype" w:eastAsia="Times New Roman" w:hAnsi="Palatino Linotype"/>
          <w:sz w:val="24"/>
          <w:szCs w:val="24"/>
        </w:rPr>
        <w:t xml:space="preserve">, </w:t>
      </w:r>
      <w:r w:rsidR="002D7B54" w:rsidRPr="00B57F9C">
        <w:rPr>
          <w:rFonts w:ascii="Palatino Linotype" w:hAnsi="Palatino Linotype"/>
          <w:sz w:val="24"/>
          <w:szCs w:val="24"/>
        </w:rPr>
        <w:t xml:space="preserve">em face do disposto no art. 191 da Lei nº 14.133, de 2021, regulamenta, </w:t>
      </w:r>
      <w:r w:rsidR="002D7B54" w:rsidRPr="00B57F9C">
        <w:rPr>
          <w:rFonts w:ascii="Palatino Linotype" w:eastAsia="Times New Roman" w:hAnsi="Palatino Linotype"/>
          <w:sz w:val="24"/>
          <w:szCs w:val="24"/>
        </w:rPr>
        <w:t xml:space="preserve">no âmbito do Poder legislativo de Nova Guarita, </w:t>
      </w:r>
      <w:r w:rsidR="002D7B54" w:rsidRPr="00B57F9C">
        <w:rPr>
          <w:rFonts w:ascii="Palatino Linotype" w:hAnsi="Palatino Linotype"/>
          <w:sz w:val="24"/>
          <w:szCs w:val="24"/>
        </w:rPr>
        <w:t xml:space="preserve">o regime de transição das  Leis números </w:t>
      </w:r>
      <w:r w:rsidR="002D7B54" w:rsidRPr="00B57F9C">
        <w:rPr>
          <w:rFonts w:ascii="Palatino Linotype" w:hAnsi="Palatino Linotype"/>
          <w:color w:val="000000"/>
          <w:sz w:val="24"/>
          <w:szCs w:val="24"/>
        </w:rPr>
        <w:t>8.666, de 1993, 10.520, de 2002 e 12.462, de 2011</w:t>
      </w:r>
      <w:r w:rsidR="002D7B54" w:rsidRPr="00B57F9C">
        <w:rPr>
          <w:rFonts w:ascii="Palatino Linotype" w:eastAsia="Times New Roman" w:hAnsi="Palatino Linotype"/>
          <w:sz w:val="24"/>
          <w:szCs w:val="24"/>
        </w:rPr>
        <w:t xml:space="preserve">, revogadas a partir de 01 de abril de 2023, para </w:t>
      </w:r>
      <w:r w:rsidR="009722D0" w:rsidRPr="00B57F9C">
        <w:rPr>
          <w:rFonts w:ascii="Palatino Linotype" w:eastAsia="Times New Roman" w:hAnsi="Palatino Linotype"/>
          <w:sz w:val="24"/>
          <w:szCs w:val="24"/>
        </w:rPr>
        <w:t xml:space="preserve">a </w:t>
      </w:r>
      <w:r w:rsidR="002D7B54" w:rsidRPr="00B57F9C">
        <w:rPr>
          <w:rFonts w:ascii="Palatino Linotype" w:eastAsia="Times New Roman" w:hAnsi="Palatino Linotype"/>
          <w:sz w:val="24"/>
          <w:szCs w:val="24"/>
        </w:rPr>
        <w:t xml:space="preserve">obrigatoriedade de aplicação integral das disposições da Lei 14.133, de 2021. </w:t>
      </w:r>
    </w:p>
    <w:p w14:paraId="15DB99C9" w14:textId="77777777" w:rsidR="002D7B54" w:rsidRPr="00B57F9C" w:rsidRDefault="002D7B54" w:rsidP="002D7B54">
      <w:pPr>
        <w:spacing w:before="120" w:line="276" w:lineRule="auto"/>
        <w:ind w:firstLine="567"/>
        <w:jc w:val="center"/>
        <w:rPr>
          <w:rFonts w:ascii="Palatino Linotype" w:eastAsia="Times New Roman" w:hAnsi="Palatino Linotype"/>
          <w:b/>
          <w:bCs/>
          <w:sz w:val="24"/>
          <w:szCs w:val="24"/>
        </w:rPr>
      </w:pPr>
    </w:p>
    <w:p w14:paraId="24A76F4A" w14:textId="77777777" w:rsidR="002D7B54" w:rsidRPr="00B57F9C" w:rsidRDefault="002D7B54" w:rsidP="002D7B54">
      <w:pPr>
        <w:spacing w:before="120" w:line="276" w:lineRule="auto"/>
        <w:ind w:firstLine="567"/>
        <w:jc w:val="center"/>
        <w:rPr>
          <w:rFonts w:ascii="Palatino Linotype" w:eastAsia="Times New Roman" w:hAnsi="Palatino Linotype"/>
          <w:b/>
          <w:bCs/>
          <w:sz w:val="24"/>
          <w:szCs w:val="24"/>
        </w:rPr>
      </w:pPr>
      <w:r w:rsidRPr="00B57F9C">
        <w:rPr>
          <w:rFonts w:ascii="Palatino Linotype" w:eastAsia="Times New Roman" w:hAnsi="Palatino Linotype"/>
          <w:b/>
          <w:bCs/>
          <w:sz w:val="24"/>
          <w:szCs w:val="24"/>
        </w:rPr>
        <w:t>CAPÍTULO II</w:t>
      </w:r>
    </w:p>
    <w:p w14:paraId="4665375C" w14:textId="77777777" w:rsidR="002D7B54" w:rsidRPr="00B57F9C" w:rsidRDefault="002D7B54" w:rsidP="002D7B54">
      <w:pPr>
        <w:spacing w:before="120" w:line="276" w:lineRule="auto"/>
        <w:ind w:firstLine="567"/>
        <w:jc w:val="center"/>
        <w:rPr>
          <w:rFonts w:ascii="Palatino Linotype" w:eastAsia="Times New Roman" w:hAnsi="Palatino Linotype"/>
          <w:b/>
          <w:bCs/>
          <w:sz w:val="24"/>
          <w:szCs w:val="24"/>
        </w:rPr>
      </w:pPr>
      <w:r w:rsidRPr="00B57F9C">
        <w:rPr>
          <w:rFonts w:ascii="Palatino Linotype" w:eastAsia="Times New Roman" w:hAnsi="Palatino Linotype"/>
          <w:b/>
          <w:bCs/>
          <w:sz w:val="24"/>
          <w:szCs w:val="24"/>
        </w:rPr>
        <w:t>DAS REGRAS DE TRANSIÇÃO </w:t>
      </w:r>
    </w:p>
    <w:p w14:paraId="34099738" w14:textId="77777777" w:rsidR="002D7B54" w:rsidRPr="00B57F9C" w:rsidRDefault="002D7B54" w:rsidP="002D7B54">
      <w:pPr>
        <w:spacing w:before="120" w:line="276" w:lineRule="auto"/>
        <w:rPr>
          <w:rFonts w:ascii="Palatino Linotype" w:hAnsi="Palatino Linotype"/>
          <w:sz w:val="24"/>
          <w:szCs w:val="24"/>
        </w:rPr>
      </w:pPr>
      <w:r w:rsidRPr="00B57F9C">
        <w:rPr>
          <w:rFonts w:ascii="Palatino Linotype" w:eastAsia="Times New Roman" w:hAnsi="Palatino Linotype"/>
          <w:b/>
          <w:bCs/>
          <w:sz w:val="24"/>
          <w:szCs w:val="24"/>
        </w:rPr>
        <w:t>Hipóteses de aplicação</w:t>
      </w:r>
      <w:r w:rsidRPr="00B57F9C">
        <w:rPr>
          <w:rFonts w:ascii="Palatino Linotype" w:hAnsi="Palatino Linotype"/>
          <w:sz w:val="24"/>
          <w:szCs w:val="24"/>
        </w:rPr>
        <w:tab/>
      </w:r>
    </w:p>
    <w:p w14:paraId="6EFB0E2A" w14:textId="77777777" w:rsidR="002D7B54" w:rsidRPr="00B57F9C" w:rsidRDefault="002D7B54" w:rsidP="002D7B54">
      <w:pPr>
        <w:spacing w:before="120" w:line="276" w:lineRule="auto"/>
        <w:ind w:firstLine="851"/>
        <w:jc w:val="both"/>
        <w:rPr>
          <w:rFonts w:ascii="Palatino Linotype" w:hAnsi="Palatino Linotype"/>
          <w:sz w:val="24"/>
          <w:szCs w:val="24"/>
        </w:rPr>
      </w:pPr>
      <w:r w:rsidRPr="00B57F9C">
        <w:rPr>
          <w:rFonts w:ascii="Palatino Linotype" w:hAnsi="Palatino Linotype"/>
          <w:sz w:val="24"/>
          <w:szCs w:val="24"/>
        </w:rPr>
        <w:t>Art. 2º Permanece regida pelas Leis números 8.666, de 1993, 10.520, de 2002, 12.462, de 2011, conforme o caso:</w:t>
      </w:r>
    </w:p>
    <w:p w14:paraId="305B64C2" w14:textId="77777777" w:rsidR="002D7B54" w:rsidRPr="00B57F9C" w:rsidRDefault="002D7B54" w:rsidP="002D7B54">
      <w:pPr>
        <w:spacing w:before="120" w:line="276" w:lineRule="auto"/>
        <w:ind w:firstLine="708"/>
        <w:jc w:val="both"/>
        <w:rPr>
          <w:rFonts w:ascii="Palatino Linotype" w:hAnsi="Palatino Linotype"/>
          <w:sz w:val="24"/>
          <w:szCs w:val="24"/>
        </w:rPr>
      </w:pPr>
      <w:r w:rsidRPr="00B57F9C">
        <w:rPr>
          <w:rFonts w:ascii="Palatino Linotype" w:hAnsi="Palatino Linotype"/>
          <w:sz w:val="24"/>
          <w:szCs w:val="24"/>
        </w:rPr>
        <w:t xml:space="preserve">I -  a licitação na modalidade concorrência, tomada de preços, convite, concurso e pregão (presencial ou eletrônico) que, em 31 de março de 2023, esteja formalmente autorizada  pela autoridade superior ou competente; </w:t>
      </w:r>
    </w:p>
    <w:p w14:paraId="3D3537ED" w14:textId="12B3D851"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II – a contratação direta por dispensa ou inexigibilidade de licitação que, até 31 de março de 2023</w:t>
      </w:r>
      <w:r w:rsidR="00745903" w:rsidRPr="00B57F9C">
        <w:rPr>
          <w:rFonts w:ascii="Palatino Linotype" w:hAnsi="Palatino Linotype"/>
          <w:sz w:val="24"/>
          <w:szCs w:val="24"/>
        </w:rPr>
        <w:t>,</w:t>
      </w:r>
      <w:r w:rsidRPr="00B57F9C">
        <w:rPr>
          <w:rFonts w:ascii="Palatino Linotype" w:hAnsi="Palatino Linotype"/>
          <w:sz w:val="24"/>
          <w:szCs w:val="24"/>
        </w:rPr>
        <w:t xml:space="preserve"> já tenha o </w:t>
      </w:r>
      <w:r w:rsidRPr="00B57F9C">
        <w:rPr>
          <w:rFonts w:ascii="Palatino Linotype" w:hAnsi="Palatino Linotype"/>
          <w:sz w:val="24"/>
          <w:szCs w:val="24"/>
          <w:bdr w:val="none" w:sz="0" w:space="0" w:color="auto" w:frame="1"/>
          <w:shd w:val="clear" w:color="auto" w:fill="FFFFFF"/>
        </w:rPr>
        <w:t>aviso</w:t>
      </w:r>
      <w:r w:rsidRPr="00B57F9C">
        <w:rPr>
          <w:rStyle w:val="Forte"/>
          <w:rFonts w:ascii="Palatino Linotype" w:hAnsi="Palatino Linotype"/>
          <w:sz w:val="24"/>
          <w:szCs w:val="24"/>
          <w:bdr w:val="none" w:sz="0" w:space="0" w:color="auto" w:frame="1"/>
          <w:shd w:val="clear" w:color="auto" w:fill="FFFFFF"/>
        </w:rPr>
        <w:t xml:space="preserve"> </w:t>
      </w:r>
      <w:r w:rsidRPr="00B57F9C">
        <w:rPr>
          <w:rStyle w:val="Forte"/>
          <w:rFonts w:ascii="Palatino Linotype" w:hAnsi="Palatino Linotype"/>
          <w:b w:val="0"/>
          <w:bCs w:val="0"/>
          <w:sz w:val="24"/>
          <w:szCs w:val="24"/>
          <w:bdr w:val="none" w:sz="0" w:space="0" w:color="auto" w:frame="1"/>
          <w:shd w:val="clear" w:color="auto" w:fill="FFFFFF"/>
        </w:rPr>
        <w:t>ou</w:t>
      </w:r>
      <w:r w:rsidRPr="00B57F9C">
        <w:rPr>
          <w:rStyle w:val="Forte"/>
          <w:rFonts w:ascii="Palatino Linotype" w:hAnsi="Palatino Linotype"/>
          <w:sz w:val="24"/>
          <w:szCs w:val="24"/>
          <w:bdr w:val="none" w:sz="0" w:space="0" w:color="auto" w:frame="1"/>
          <w:shd w:val="clear" w:color="auto" w:fill="FFFFFF"/>
        </w:rPr>
        <w:t> </w:t>
      </w:r>
      <w:r w:rsidR="00745903" w:rsidRPr="00B57F9C">
        <w:rPr>
          <w:rStyle w:val="Forte"/>
          <w:rFonts w:ascii="Palatino Linotype" w:hAnsi="Palatino Linotype"/>
          <w:b w:val="0"/>
          <w:bCs w:val="0"/>
          <w:sz w:val="24"/>
          <w:szCs w:val="24"/>
          <w:bdr w:val="none" w:sz="0" w:space="0" w:color="auto" w:frame="1"/>
          <w:shd w:val="clear" w:color="auto" w:fill="FFFFFF"/>
        </w:rPr>
        <w:t xml:space="preserve">o </w:t>
      </w:r>
      <w:r w:rsidRPr="00B57F9C">
        <w:rPr>
          <w:rFonts w:ascii="Palatino Linotype" w:hAnsi="Palatino Linotype"/>
          <w:sz w:val="24"/>
          <w:szCs w:val="24"/>
          <w:bdr w:val="none" w:sz="0" w:space="0" w:color="auto" w:frame="1"/>
          <w:shd w:val="clear" w:color="auto" w:fill="FFFFFF"/>
        </w:rPr>
        <w:t>ato de autorização e/ou ratificação de contratação publicado na imprensa oficial ou divulgado no sitio eletrônico oficial do Poder Legislativo de Nova Guarita;</w:t>
      </w:r>
      <w:r w:rsidRPr="00B57F9C">
        <w:rPr>
          <w:rFonts w:ascii="Palatino Linotype" w:hAnsi="Palatino Linotype"/>
          <w:sz w:val="24"/>
          <w:szCs w:val="24"/>
        </w:rPr>
        <w:tab/>
      </w:r>
    </w:p>
    <w:p w14:paraId="3DAF4395" w14:textId="7813C9C5"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 Parágrafo úni</w:t>
      </w:r>
      <w:r w:rsidR="00DA1804">
        <w:rPr>
          <w:rFonts w:ascii="Palatino Linotype" w:hAnsi="Palatino Linotype"/>
          <w:sz w:val="24"/>
          <w:szCs w:val="24"/>
        </w:rPr>
        <w:t>co. Para os fins deste Ato</w:t>
      </w:r>
      <w:r w:rsidRPr="00B57F9C">
        <w:rPr>
          <w:rFonts w:ascii="Palatino Linotype" w:hAnsi="Palatino Linotype"/>
          <w:sz w:val="24"/>
          <w:szCs w:val="24"/>
        </w:rPr>
        <w:t xml:space="preserve">, considera-se formalmente autorizada a licitação </w:t>
      </w:r>
      <w:r w:rsidR="00C06448" w:rsidRPr="00B57F9C">
        <w:rPr>
          <w:rFonts w:ascii="Palatino Linotype" w:hAnsi="Palatino Linotype"/>
          <w:sz w:val="24"/>
          <w:szCs w:val="24"/>
        </w:rPr>
        <w:t>em que o</w:t>
      </w:r>
      <w:r w:rsidR="00745903" w:rsidRPr="00B57F9C">
        <w:rPr>
          <w:rFonts w:ascii="Palatino Linotype" w:hAnsi="Palatino Linotype"/>
          <w:sz w:val="24"/>
          <w:szCs w:val="24"/>
        </w:rPr>
        <w:t>s</w:t>
      </w:r>
      <w:r w:rsidRPr="00B57F9C">
        <w:rPr>
          <w:rFonts w:ascii="Palatino Linotype" w:hAnsi="Palatino Linotype"/>
          <w:sz w:val="24"/>
          <w:szCs w:val="24"/>
        </w:rPr>
        <w:t xml:space="preserve"> procedimentos da fase interna</w:t>
      </w:r>
      <w:r w:rsidR="00313AE5" w:rsidRPr="00B57F9C">
        <w:rPr>
          <w:rFonts w:ascii="Palatino Linotype" w:hAnsi="Palatino Linotype"/>
          <w:sz w:val="24"/>
          <w:szCs w:val="24"/>
        </w:rPr>
        <w:t>, em 31 de março de 2023,</w:t>
      </w:r>
      <w:r w:rsidRPr="00B57F9C">
        <w:rPr>
          <w:rFonts w:ascii="Palatino Linotype" w:hAnsi="Palatino Linotype"/>
          <w:sz w:val="24"/>
          <w:szCs w:val="24"/>
        </w:rPr>
        <w:t xml:space="preserve"> já atendam o disposto no </w:t>
      </w:r>
      <w:r w:rsidRPr="00B57F9C">
        <w:rPr>
          <w:rFonts w:ascii="Palatino Linotype" w:hAnsi="Palatino Linotype"/>
          <w:i/>
          <w:iCs/>
          <w:sz w:val="24"/>
          <w:szCs w:val="24"/>
        </w:rPr>
        <w:t>caput</w:t>
      </w:r>
      <w:r w:rsidRPr="00B57F9C">
        <w:rPr>
          <w:rFonts w:ascii="Palatino Linotype" w:hAnsi="Palatino Linotype"/>
          <w:sz w:val="24"/>
          <w:szCs w:val="24"/>
        </w:rPr>
        <w:t xml:space="preserve"> art. 38 da Lei nº 8.666, de 1.993, e c</w:t>
      </w:r>
      <w:r w:rsidR="00C06448" w:rsidRPr="00B57F9C">
        <w:rPr>
          <w:rFonts w:ascii="Palatino Linotype" w:hAnsi="Palatino Linotype"/>
          <w:sz w:val="24"/>
          <w:szCs w:val="24"/>
        </w:rPr>
        <w:t>ujo</w:t>
      </w:r>
      <w:r w:rsidRPr="00B57F9C">
        <w:rPr>
          <w:rFonts w:ascii="Palatino Linotype" w:hAnsi="Palatino Linotype"/>
          <w:sz w:val="24"/>
          <w:szCs w:val="24"/>
        </w:rPr>
        <w:t xml:space="preserve"> planejamento específico tenha se dado com fundamento nas disposições das leis revogadas.</w:t>
      </w:r>
    </w:p>
    <w:p w14:paraId="07C085B9" w14:textId="78080661"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Art. 3º Aplica-se ao credenciamento, no que cou</w:t>
      </w:r>
      <w:r w:rsidR="00DA1804">
        <w:rPr>
          <w:rFonts w:ascii="Palatino Linotype" w:hAnsi="Palatino Linotype"/>
          <w:sz w:val="24"/>
          <w:szCs w:val="24"/>
        </w:rPr>
        <w:t>ber, o disposto no art. 2º deste Ato</w:t>
      </w:r>
      <w:r w:rsidRPr="00B57F9C">
        <w:rPr>
          <w:rFonts w:ascii="Palatino Linotype" w:hAnsi="Palatino Linotype"/>
          <w:sz w:val="24"/>
          <w:szCs w:val="24"/>
        </w:rPr>
        <w:t xml:space="preserve">. </w:t>
      </w:r>
    </w:p>
    <w:p w14:paraId="7FD6AE78" w14:textId="38D3C53A"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Art. </w:t>
      </w:r>
      <w:r w:rsidR="00AF7ABB">
        <w:rPr>
          <w:rFonts w:ascii="Palatino Linotype" w:hAnsi="Palatino Linotype"/>
          <w:sz w:val="24"/>
          <w:szCs w:val="24"/>
        </w:rPr>
        <w:t>5</w:t>
      </w:r>
      <w:r w:rsidRPr="00B57F9C">
        <w:rPr>
          <w:rFonts w:ascii="Palatino Linotype" w:hAnsi="Palatino Linotype"/>
          <w:sz w:val="24"/>
          <w:szCs w:val="24"/>
        </w:rPr>
        <w:t xml:space="preserve">º O edital da licitação ou de chamamento público ou o aviso de contratação direta deverá informar expressamente a opção da Administração. </w:t>
      </w:r>
    </w:p>
    <w:p w14:paraId="69F02E7F" w14:textId="12F3F0D3"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Art. </w:t>
      </w:r>
      <w:r w:rsidR="00AF7ABB">
        <w:rPr>
          <w:rFonts w:ascii="Palatino Linotype" w:hAnsi="Palatino Linotype"/>
          <w:sz w:val="24"/>
          <w:szCs w:val="24"/>
        </w:rPr>
        <w:t>6</w:t>
      </w:r>
      <w:r w:rsidRPr="00B57F9C">
        <w:rPr>
          <w:rFonts w:ascii="Palatino Linotype" w:hAnsi="Palatino Linotype"/>
          <w:sz w:val="24"/>
          <w:szCs w:val="24"/>
        </w:rPr>
        <w:t xml:space="preserve">º A ata de registro de preços assinada até 31 de março de 2023 ou que, após esta data, tenha por origem licitação autorizada na forma do art. 2º deste decreto, será regida pelas mesmas leis que regeram o procedimento de licitação. </w:t>
      </w:r>
    </w:p>
    <w:p w14:paraId="3E34B68C" w14:textId="77777777"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lastRenderedPageBreak/>
        <w:tab/>
        <w:t xml:space="preserve">Parágrafo único. Rege-se ainda, pelas mesmas leis, o contrato derivado da ata de registro de preços formalizada nos termos do </w:t>
      </w:r>
      <w:r w:rsidRPr="00B57F9C">
        <w:rPr>
          <w:rFonts w:ascii="Palatino Linotype" w:hAnsi="Palatino Linotype"/>
          <w:i/>
          <w:iCs/>
          <w:sz w:val="24"/>
          <w:szCs w:val="24"/>
        </w:rPr>
        <w:t>caput</w:t>
      </w:r>
      <w:r w:rsidRPr="00B57F9C">
        <w:rPr>
          <w:rFonts w:ascii="Palatino Linotype" w:hAnsi="Palatino Linotype"/>
          <w:sz w:val="24"/>
          <w:szCs w:val="24"/>
        </w:rPr>
        <w:t xml:space="preserve"> deste artigo, inclusive os seus aditamentos necessários. </w:t>
      </w:r>
    </w:p>
    <w:p w14:paraId="074BEEBB" w14:textId="3F49A4AB"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Art. </w:t>
      </w:r>
      <w:r w:rsidR="00AF7ABB">
        <w:rPr>
          <w:rFonts w:ascii="Palatino Linotype" w:hAnsi="Palatino Linotype"/>
          <w:sz w:val="24"/>
          <w:szCs w:val="24"/>
        </w:rPr>
        <w:t>7</w:t>
      </w:r>
      <w:r w:rsidRPr="00B57F9C">
        <w:rPr>
          <w:rFonts w:ascii="Palatino Linotype" w:hAnsi="Palatino Linotype"/>
          <w:sz w:val="24"/>
          <w:szCs w:val="24"/>
        </w:rPr>
        <w:t>º. O procedimento de licitação auto</w:t>
      </w:r>
      <w:r w:rsidR="000E552A">
        <w:rPr>
          <w:rFonts w:ascii="Palatino Linotype" w:hAnsi="Palatino Linotype"/>
          <w:sz w:val="24"/>
          <w:szCs w:val="24"/>
        </w:rPr>
        <w:t>rizado na forma do art. 2º deste Ato</w:t>
      </w:r>
      <w:r w:rsidRPr="00B57F9C">
        <w:rPr>
          <w:rFonts w:ascii="Palatino Linotype" w:hAnsi="Palatino Linotype"/>
          <w:sz w:val="24"/>
          <w:szCs w:val="24"/>
        </w:rPr>
        <w:t xml:space="preserve"> deve ter seu edital publicado em </w:t>
      </w:r>
      <w:r w:rsidRPr="00970F37">
        <w:rPr>
          <w:rFonts w:ascii="Palatino Linotype" w:hAnsi="Palatino Linotype"/>
          <w:sz w:val="24"/>
          <w:szCs w:val="24"/>
        </w:rPr>
        <w:t>até 120 (cento e vinte) dias</w:t>
      </w:r>
      <w:r w:rsidRPr="00B57F9C">
        <w:rPr>
          <w:rFonts w:ascii="Palatino Linotype" w:hAnsi="Palatino Linotype"/>
          <w:sz w:val="24"/>
          <w:szCs w:val="24"/>
        </w:rPr>
        <w:t xml:space="preserve"> a contar de 01 de abril de 2023.</w:t>
      </w:r>
    </w:p>
    <w:p w14:paraId="0712358F" w14:textId="75EBEEA2"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Parágrafo único. A não publicação do edital no prazo de que trata o </w:t>
      </w:r>
      <w:r w:rsidRPr="00B57F9C">
        <w:rPr>
          <w:rFonts w:ascii="Palatino Linotype" w:hAnsi="Palatino Linotype"/>
          <w:i/>
          <w:iCs/>
          <w:sz w:val="24"/>
          <w:szCs w:val="24"/>
        </w:rPr>
        <w:t>caput</w:t>
      </w:r>
      <w:r w:rsidRPr="00B57F9C">
        <w:rPr>
          <w:rFonts w:ascii="Palatino Linotype" w:hAnsi="Palatino Linotype"/>
          <w:sz w:val="24"/>
          <w:szCs w:val="24"/>
        </w:rPr>
        <w:t xml:space="preserve"> obrigará a Administração a adotar, no caso, a Lei nº 14.133, de 2021, inclusive devendo refazer o planejamento da contração sob </w:t>
      </w:r>
      <w:r w:rsidR="000A4F75" w:rsidRPr="00B57F9C">
        <w:rPr>
          <w:rFonts w:ascii="Palatino Linotype" w:hAnsi="Palatino Linotype"/>
          <w:sz w:val="24"/>
          <w:szCs w:val="24"/>
        </w:rPr>
        <w:t>seus</w:t>
      </w:r>
      <w:r w:rsidRPr="00B57F9C">
        <w:rPr>
          <w:rFonts w:ascii="Palatino Linotype" w:hAnsi="Palatino Linotype"/>
          <w:sz w:val="24"/>
          <w:szCs w:val="24"/>
        </w:rPr>
        <w:t xml:space="preserve"> fundamentos. </w:t>
      </w:r>
      <w:r w:rsidRPr="00B57F9C">
        <w:rPr>
          <w:rFonts w:ascii="Palatino Linotype" w:hAnsi="Palatino Linotype"/>
          <w:sz w:val="24"/>
          <w:szCs w:val="24"/>
        </w:rPr>
        <w:tab/>
      </w:r>
    </w:p>
    <w:p w14:paraId="609D5636" w14:textId="513B5268" w:rsidR="002D7B54" w:rsidRPr="00B57F9C" w:rsidRDefault="002D7B54" w:rsidP="002D7B54">
      <w:pPr>
        <w:spacing w:before="120" w:line="276" w:lineRule="auto"/>
        <w:jc w:val="both"/>
        <w:rPr>
          <w:rFonts w:ascii="Palatino Linotype" w:hAnsi="Palatino Linotype"/>
          <w:color w:val="000000"/>
          <w:sz w:val="24"/>
          <w:szCs w:val="24"/>
        </w:rPr>
      </w:pPr>
      <w:r w:rsidRPr="00B57F9C">
        <w:rPr>
          <w:rFonts w:ascii="Palatino Linotype" w:hAnsi="Palatino Linotype"/>
          <w:sz w:val="24"/>
          <w:szCs w:val="24"/>
        </w:rPr>
        <w:t xml:space="preserve"> </w:t>
      </w:r>
      <w:r w:rsidRPr="00B57F9C">
        <w:rPr>
          <w:rFonts w:ascii="Palatino Linotype" w:hAnsi="Palatino Linotype"/>
          <w:sz w:val="24"/>
          <w:szCs w:val="24"/>
        </w:rPr>
        <w:tab/>
        <w:t xml:space="preserve">Art. </w:t>
      </w:r>
      <w:r w:rsidR="00AF7ABB">
        <w:rPr>
          <w:rFonts w:ascii="Palatino Linotype" w:hAnsi="Palatino Linotype"/>
          <w:sz w:val="24"/>
          <w:szCs w:val="24"/>
        </w:rPr>
        <w:t>8</w:t>
      </w:r>
      <w:r w:rsidRPr="00B57F9C">
        <w:rPr>
          <w:rFonts w:ascii="Palatino Linotype" w:hAnsi="Palatino Linotype"/>
          <w:sz w:val="24"/>
          <w:szCs w:val="24"/>
        </w:rPr>
        <w:t>º O contrato assinado até</w:t>
      </w:r>
      <w:r w:rsidRPr="00B57F9C">
        <w:rPr>
          <w:rFonts w:ascii="Palatino Linotype" w:hAnsi="Palatino Linotype"/>
          <w:color w:val="000000"/>
          <w:sz w:val="24"/>
          <w:szCs w:val="24"/>
        </w:rPr>
        <w:t xml:space="preserve"> 31 de março de 2023 </w:t>
      </w:r>
      <w:r w:rsidR="00435A07" w:rsidRPr="00B57F9C">
        <w:rPr>
          <w:rFonts w:ascii="Palatino Linotype" w:hAnsi="Palatino Linotype"/>
          <w:color w:val="000000"/>
          <w:sz w:val="24"/>
          <w:szCs w:val="24"/>
        </w:rPr>
        <w:t>(</w:t>
      </w:r>
      <w:r w:rsidRPr="00B57F9C">
        <w:rPr>
          <w:rFonts w:ascii="Palatino Linotype" w:hAnsi="Palatino Linotype"/>
          <w:i/>
          <w:iCs/>
          <w:color w:val="000000"/>
          <w:sz w:val="24"/>
          <w:szCs w:val="24"/>
        </w:rPr>
        <w:t>instrumento de contrato, nota de empenho e outros substitutivos legais</w:t>
      </w:r>
      <w:r w:rsidRPr="00B57F9C">
        <w:rPr>
          <w:rFonts w:ascii="Palatino Linotype" w:hAnsi="Palatino Linotype"/>
          <w:color w:val="000000"/>
          <w:sz w:val="24"/>
          <w:szCs w:val="24"/>
        </w:rPr>
        <w:t>) ou que tenha origem em qualquer procedimento form</w:t>
      </w:r>
      <w:r w:rsidR="000E552A">
        <w:rPr>
          <w:rFonts w:ascii="Palatino Linotype" w:hAnsi="Palatino Linotype"/>
          <w:color w:val="000000"/>
          <w:sz w:val="24"/>
          <w:szCs w:val="24"/>
        </w:rPr>
        <w:t>alizado conforme o art. 2º deste Ato</w:t>
      </w:r>
      <w:r w:rsidRPr="00B57F9C">
        <w:rPr>
          <w:rFonts w:ascii="Palatino Linotype" w:hAnsi="Palatino Linotype"/>
          <w:color w:val="000000"/>
          <w:sz w:val="24"/>
          <w:szCs w:val="24"/>
        </w:rPr>
        <w:t>, continuará a ser regido de acordo com as regras previstas na legislação revogada, extensíveis, as mesma</w:t>
      </w:r>
      <w:r w:rsidR="00435A07" w:rsidRPr="00B57F9C">
        <w:rPr>
          <w:rFonts w:ascii="Palatino Linotype" w:hAnsi="Palatino Linotype"/>
          <w:color w:val="000000"/>
          <w:sz w:val="24"/>
          <w:szCs w:val="24"/>
        </w:rPr>
        <w:t>s</w:t>
      </w:r>
      <w:r w:rsidRPr="00B57F9C">
        <w:rPr>
          <w:rFonts w:ascii="Palatino Linotype" w:hAnsi="Palatino Linotype"/>
          <w:color w:val="000000"/>
          <w:sz w:val="24"/>
          <w:szCs w:val="24"/>
        </w:rPr>
        <w:t xml:space="preserve"> regras, aos seus aditamentos necessários, conforme preconiza o parágrafo único do art. 191 da Lei nº 14.133, de 2021.</w:t>
      </w:r>
    </w:p>
    <w:p w14:paraId="0F01365A" w14:textId="77777777"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Parágrafo único. Não se aplica as regras do </w:t>
      </w:r>
      <w:r w:rsidRPr="00B57F9C">
        <w:rPr>
          <w:rFonts w:ascii="Palatino Linotype" w:hAnsi="Palatino Linotype"/>
          <w:i/>
          <w:iCs/>
          <w:sz w:val="24"/>
          <w:szCs w:val="24"/>
        </w:rPr>
        <w:t>caput</w:t>
      </w:r>
      <w:r w:rsidRPr="00B57F9C">
        <w:rPr>
          <w:rFonts w:ascii="Palatino Linotype" w:hAnsi="Palatino Linotype"/>
          <w:sz w:val="24"/>
          <w:szCs w:val="24"/>
        </w:rPr>
        <w:t xml:space="preserve"> deste artigo ao contrato cujo processo de licitação ou o procedimento de contratação direta por dispensa ou inexigibilidade que lhe deu origem já tenha sido formalizado sob a regência da Lei nº 14.133, de 2021. </w:t>
      </w:r>
    </w:p>
    <w:p w14:paraId="3C8EE147" w14:textId="77777777"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 </w:t>
      </w:r>
    </w:p>
    <w:p w14:paraId="50653EAD" w14:textId="77777777" w:rsidR="002D7B54" w:rsidRPr="00B57F9C" w:rsidRDefault="002D7B54" w:rsidP="002D7B54">
      <w:pPr>
        <w:pStyle w:val="aPARGRAFO12pt"/>
        <w:spacing w:before="120" w:line="276" w:lineRule="auto"/>
        <w:ind w:firstLine="0"/>
        <w:jc w:val="center"/>
        <w:rPr>
          <w:rFonts w:ascii="Palatino Linotype" w:hAnsi="Palatino Linotype"/>
          <w:b/>
          <w:lang w:val="pt-BR"/>
        </w:rPr>
      </w:pPr>
      <w:r w:rsidRPr="00B57F9C">
        <w:rPr>
          <w:rFonts w:ascii="Palatino Linotype" w:hAnsi="Palatino Linotype"/>
          <w:b/>
          <w:lang w:val="pt-BR"/>
        </w:rPr>
        <w:t>CAPÍTULO III</w:t>
      </w:r>
      <w:r w:rsidRPr="00B57F9C">
        <w:rPr>
          <w:rFonts w:ascii="Palatino Linotype" w:hAnsi="Palatino Linotype"/>
          <w:b/>
          <w:lang w:val="pt-BR"/>
        </w:rPr>
        <w:br/>
        <w:t>DAS DISPOSIÇÕES FINAIS</w:t>
      </w:r>
    </w:p>
    <w:p w14:paraId="5722638A" w14:textId="77777777" w:rsidR="002D7B54" w:rsidRPr="00B57F9C" w:rsidRDefault="002D7B54" w:rsidP="002D7B54">
      <w:pPr>
        <w:pStyle w:val="aPARGRAFO12pt"/>
        <w:spacing w:before="120" w:line="276" w:lineRule="auto"/>
        <w:ind w:firstLine="0"/>
        <w:rPr>
          <w:rFonts w:ascii="Palatino Linotype" w:hAnsi="Palatino Linotype"/>
          <w:b/>
          <w:lang w:val="pt-BR"/>
        </w:rPr>
      </w:pPr>
      <w:r w:rsidRPr="00B57F9C">
        <w:rPr>
          <w:rFonts w:ascii="Palatino Linotype" w:hAnsi="Palatino Linotype"/>
          <w:b/>
          <w:lang w:val="pt-BR"/>
        </w:rPr>
        <w:t>Tratamento de normas não revogadas e vedação</w:t>
      </w:r>
    </w:p>
    <w:p w14:paraId="5D51862A" w14:textId="5EB77AD1" w:rsidR="002D7B54" w:rsidRPr="00B57F9C" w:rsidRDefault="002D7B54" w:rsidP="002D7B54">
      <w:pPr>
        <w:spacing w:before="120" w:line="276" w:lineRule="auto"/>
        <w:ind w:firstLine="851"/>
        <w:jc w:val="both"/>
        <w:rPr>
          <w:rFonts w:ascii="Palatino Linotype" w:hAnsi="Palatino Linotype"/>
          <w:sz w:val="24"/>
          <w:szCs w:val="24"/>
        </w:rPr>
      </w:pPr>
      <w:r w:rsidRPr="00B57F9C">
        <w:rPr>
          <w:rFonts w:ascii="Palatino Linotype" w:hAnsi="Palatino Linotype"/>
          <w:sz w:val="24"/>
          <w:szCs w:val="24"/>
        </w:rPr>
        <w:t xml:space="preserve">Art. </w:t>
      </w:r>
      <w:r w:rsidR="00AF7ABB">
        <w:rPr>
          <w:rFonts w:ascii="Palatino Linotype" w:hAnsi="Palatino Linotype"/>
          <w:sz w:val="24"/>
          <w:szCs w:val="24"/>
        </w:rPr>
        <w:t>9</w:t>
      </w:r>
      <w:r w:rsidRPr="00B57F9C">
        <w:rPr>
          <w:rFonts w:ascii="Palatino Linotype" w:hAnsi="Palatino Linotype"/>
          <w:sz w:val="24"/>
          <w:szCs w:val="24"/>
        </w:rPr>
        <w:t xml:space="preserve">º No que couber e conforme o caso, aplica-se </w:t>
      </w:r>
      <w:r w:rsidRPr="00B57F9C">
        <w:rPr>
          <w:rFonts w:ascii="Palatino Linotype" w:hAnsi="Palatino Linotype"/>
          <w:color w:val="000000"/>
          <w:sz w:val="24"/>
          <w:szCs w:val="24"/>
        </w:rPr>
        <w:t>às hipóteses previstas em normas regulamentares de qualquer espécie (</w:t>
      </w:r>
      <w:r w:rsidRPr="00B57F9C">
        <w:rPr>
          <w:rFonts w:ascii="Palatino Linotype" w:hAnsi="Palatino Linotype"/>
          <w:i/>
          <w:iCs/>
          <w:color w:val="000000"/>
          <w:sz w:val="24"/>
          <w:szCs w:val="24"/>
        </w:rPr>
        <w:t>Decretos, Instruções Normativas, Resoluções, etc</w:t>
      </w:r>
      <w:r w:rsidRPr="00B57F9C">
        <w:rPr>
          <w:rFonts w:ascii="Palatino Linotype" w:hAnsi="Palatino Linotype"/>
          <w:color w:val="000000"/>
          <w:sz w:val="24"/>
          <w:szCs w:val="24"/>
        </w:rPr>
        <w:t>), não revogadas tácita ou expressamente e que façam referência </w:t>
      </w:r>
      <w:r w:rsidRPr="00B57F9C">
        <w:rPr>
          <w:rFonts w:ascii="Palatino Linotype" w:hAnsi="Palatino Linotype"/>
          <w:sz w:val="24"/>
          <w:szCs w:val="24"/>
        </w:rPr>
        <w:t xml:space="preserve">às Leis números 8.666, de 1993, 10.520, de 2002, as disposições da Lei nº 14.133, de 2021. </w:t>
      </w:r>
    </w:p>
    <w:p w14:paraId="1B94DBB7" w14:textId="0364411E"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tab/>
        <w:t xml:space="preserve">Art. </w:t>
      </w:r>
      <w:r w:rsidR="00687C27">
        <w:rPr>
          <w:rFonts w:ascii="Palatino Linotype" w:hAnsi="Palatino Linotype"/>
          <w:sz w:val="24"/>
          <w:szCs w:val="24"/>
        </w:rPr>
        <w:t>10</w:t>
      </w:r>
      <w:r w:rsidRPr="00B57F9C">
        <w:rPr>
          <w:rFonts w:ascii="Palatino Linotype" w:hAnsi="Palatino Linotype"/>
          <w:sz w:val="24"/>
          <w:szCs w:val="24"/>
        </w:rPr>
        <w:t xml:space="preserve">. É vedada a aplicação combinada da Lei nº 14.133, de 2021, com qualquer das Leis números 8.666/93, 10.520, de 2002, 12.462, de 2011. </w:t>
      </w:r>
    </w:p>
    <w:p w14:paraId="38BDC8E2" w14:textId="5ED199C3" w:rsidR="002D7B54" w:rsidRPr="00B57F9C" w:rsidRDefault="002D7B54" w:rsidP="002D7B54">
      <w:pPr>
        <w:spacing w:before="120" w:line="276" w:lineRule="auto"/>
        <w:jc w:val="both"/>
        <w:rPr>
          <w:rFonts w:ascii="Palatino Linotype" w:hAnsi="Palatino Linotype"/>
          <w:sz w:val="24"/>
          <w:szCs w:val="24"/>
        </w:rPr>
      </w:pPr>
      <w:r w:rsidRPr="00B57F9C">
        <w:rPr>
          <w:rFonts w:ascii="Palatino Linotype" w:hAnsi="Palatino Linotype"/>
          <w:sz w:val="24"/>
          <w:szCs w:val="24"/>
        </w:rPr>
        <w:lastRenderedPageBreak/>
        <w:tab/>
        <w:t xml:space="preserve">Parágrafo único. A vedação prevista neste artigo impede a realização do </w:t>
      </w:r>
      <w:bookmarkStart w:id="0" w:name="_GoBack"/>
      <w:bookmarkEnd w:id="0"/>
      <w:r w:rsidRPr="00B57F9C">
        <w:rPr>
          <w:rFonts w:ascii="Palatino Linotype" w:hAnsi="Palatino Linotype"/>
          <w:sz w:val="24"/>
          <w:szCs w:val="24"/>
        </w:rPr>
        <w:t>planejamento parcial ou total da fase interna com fundamento nas normas revogadas e o prosseguimento da etapa externa com fundamento na Lei nº 14.133, de 2021, devendo ser considerado para tal, o marco limite estabel</w:t>
      </w:r>
      <w:r w:rsidR="000E552A">
        <w:rPr>
          <w:rFonts w:ascii="Palatino Linotype" w:hAnsi="Palatino Linotype"/>
          <w:sz w:val="24"/>
          <w:szCs w:val="24"/>
        </w:rPr>
        <w:t>ecido no art. 2º deste Ato</w:t>
      </w:r>
      <w:r w:rsidRPr="00B57F9C">
        <w:rPr>
          <w:rFonts w:ascii="Palatino Linotype" w:hAnsi="Palatino Linotype"/>
          <w:sz w:val="24"/>
          <w:szCs w:val="24"/>
        </w:rPr>
        <w:t xml:space="preserve">. </w:t>
      </w:r>
    </w:p>
    <w:p w14:paraId="63D051ED" w14:textId="77777777" w:rsidR="002D7B54" w:rsidRPr="00B57F9C" w:rsidRDefault="002D7B54" w:rsidP="002D7B54">
      <w:pPr>
        <w:pStyle w:val="aPARGRAFO12pt"/>
        <w:spacing w:before="120" w:line="276" w:lineRule="auto"/>
        <w:ind w:firstLine="0"/>
        <w:jc w:val="left"/>
        <w:rPr>
          <w:rFonts w:ascii="Palatino Linotype" w:hAnsi="Palatino Linotype"/>
          <w:b/>
          <w:lang w:val="pt-BR"/>
        </w:rPr>
      </w:pPr>
      <w:r w:rsidRPr="00B57F9C">
        <w:rPr>
          <w:rFonts w:ascii="Palatino Linotype" w:hAnsi="Palatino Linotype"/>
          <w:b/>
          <w:lang w:val="pt-BR"/>
        </w:rPr>
        <w:t>Omissão</w:t>
      </w:r>
    </w:p>
    <w:p w14:paraId="49E3EA68" w14:textId="003590DE" w:rsidR="002D7B54" w:rsidRPr="00B57F9C" w:rsidRDefault="002D7B54" w:rsidP="002D7B54">
      <w:pPr>
        <w:spacing w:before="120" w:line="276" w:lineRule="auto"/>
        <w:ind w:firstLine="851"/>
        <w:jc w:val="both"/>
        <w:rPr>
          <w:rFonts w:ascii="Palatino Linotype" w:eastAsia="Century Gothic" w:hAnsi="Palatino Linotype"/>
          <w:sz w:val="24"/>
          <w:szCs w:val="24"/>
        </w:rPr>
      </w:pPr>
      <w:r w:rsidRPr="00B57F9C">
        <w:rPr>
          <w:rFonts w:ascii="Palatino Linotype" w:eastAsia="Century Gothic" w:hAnsi="Palatino Linotype"/>
          <w:sz w:val="24"/>
          <w:szCs w:val="24"/>
        </w:rPr>
        <w:t xml:space="preserve">Art. </w:t>
      </w:r>
      <w:r w:rsidR="00687C27">
        <w:rPr>
          <w:rFonts w:ascii="Palatino Linotype" w:eastAsia="Century Gothic" w:hAnsi="Palatino Linotype"/>
          <w:sz w:val="24"/>
          <w:szCs w:val="24"/>
        </w:rPr>
        <w:t>11</w:t>
      </w:r>
      <w:r w:rsidRPr="00B57F9C">
        <w:rPr>
          <w:rFonts w:ascii="Palatino Linotype" w:eastAsia="Century Gothic" w:hAnsi="Palatino Linotype"/>
          <w:sz w:val="24"/>
          <w:szCs w:val="24"/>
        </w:rPr>
        <w:t>. Os casos omissos serão resolvidos pela Presidência da Câmara Municipal de Nova Guarita, que poderá editar normas</w:t>
      </w:r>
      <w:r w:rsidR="00DA1804">
        <w:rPr>
          <w:rFonts w:ascii="Palatino Linotype" w:eastAsia="Century Gothic" w:hAnsi="Palatino Linotype"/>
          <w:sz w:val="24"/>
          <w:szCs w:val="24"/>
        </w:rPr>
        <w:t xml:space="preserve"> complementares a esta Ato</w:t>
      </w:r>
      <w:r w:rsidRPr="00B57F9C">
        <w:rPr>
          <w:rFonts w:ascii="Palatino Linotype" w:eastAsia="Century Gothic" w:hAnsi="Palatino Linotype"/>
          <w:sz w:val="24"/>
          <w:szCs w:val="24"/>
        </w:rPr>
        <w:t>.</w:t>
      </w:r>
    </w:p>
    <w:p w14:paraId="47A4748B" w14:textId="77777777" w:rsidR="002D7B54" w:rsidRPr="00B57F9C" w:rsidRDefault="002D7B54" w:rsidP="002D7B54">
      <w:pPr>
        <w:pStyle w:val="aPARGRAFO12pt"/>
        <w:spacing w:before="120" w:line="276" w:lineRule="auto"/>
        <w:ind w:firstLine="0"/>
        <w:jc w:val="left"/>
        <w:rPr>
          <w:rFonts w:ascii="Palatino Linotype" w:hAnsi="Palatino Linotype"/>
          <w:b/>
          <w:lang w:val="pt-BR"/>
        </w:rPr>
      </w:pPr>
      <w:r w:rsidRPr="00B57F9C">
        <w:rPr>
          <w:rFonts w:ascii="Palatino Linotype" w:hAnsi="Palatino Linotype"/>
          <w:b/>
          <w:lang w:val="pt-BR"/>
        </w:rPr>
        <w:t>Vigência</w:t>
      </w:r>
    </w:p>
    <w:p w14:paraId="4779E2EC" w14:textId="77777777" w:rsidR="00DA1804" w:rsidRPr="00DA1804" w:rsidRDefault="002D7B54" w:rsidP="00DA1804">
      <w:pPr>
        <w:spacing w:before="100" w:beforeAutospacing="1" w:after="100" w:afterAutospacing="1"/>
        <w:ind w:firstLine="851"/>
        <w:jc w:val="both"/>
        <w:rPr>
          <w:rFonts w:ascii="Palatino Linotype" w:hAnsi="Palatino Linotype" w:cs="Calibri"/>
          <w:sz w:val="24"/>
          <w:szCs w:val="24"/>
        </w:rPr>
      </w:pPr>
      <w:r w:rsidRPr="00DA1804">
        <w:rPr>
          <w:rFonts w:ascii="Palatino Linotype" w:hAnsi="Palatino Linotype"/>
          <w:sz w:val="24"/>
          <w:szCs w:val="24"/>
        </w:rPr>
        <w:t>Art. 1</w:t>
      </w:r>
      <w:r w:rsidR="00687C27" w:rsidRPr="00DA1804">
        <w:rPr>
          <w:rFonts w:ascii="Palatino Linotype" w:hAnsi="Palatino Linotype"/>
          <w:sz w:val="24"/>
          <w:szCs w:val="24"/>
        </w:rPr>
        <w:t>2.</w:t>
      </w:r>
      <w:r w:rsidRPr="00DA1804">
        <w:rPr>
          <w:rFonts w:ascii="Palatino Linotype" w:hAnsi="Palatino Linotype"/>
          <w:sz w:val="24"/>
          <w:szCs w:val="24"/>
        </w:rPr>
        <w:t xml:space="preserve"> </w:t>
      </w:r>
      <w:r w:rsidR="00DA1804" w:rsidRPr="00DA1804">
        <w:rPr>
          <w:rFonts w:ascii="Palatino Linotype" w:hAnsi="Palatino Linotype" w:cs="Calibri"/>
          <w:sz w:val="24"/>
          <w:szCs w:val="24"/>
        </w:rPr>
        <w:t>Este Ato entra em vigor na data de sua publicação, devendo ser afixado em local de costume.</w:t>
      </w:r>
    </w:p>
    <w:p w14:paraId="0B17CD65" w14:textId="1F602BB8" w:rsidR="002D7B54" w:rsidRPr="00B57F9C" w:rsidRDefault="002D7B54" w:rsidP="002D7B54">
      <w:pPr>
        <w:spacing w:before="120" w:line="276" w:lineRule="auto"/>
        <w:ind w:firstLine="851"/>
        <w:jc w:val="both"/>
        <w:rPr>
          <w:rFonts w:ascii="Palatino Linotype" w:hAnsi="Palatino Linotype"/>
          <w:sz w:val="24"/>
          <w:szCs w:val="24"/>
        </w:rPr>
      </w:pPr>
    </w:p>
    <w:p w14:paraId="1B2FF87C" w14:textId="77777777" w:rsidR="00785731" w:rsidRPr="006442B0" w:rsidRDefault="00785731" w:rsidP="00785731">
      <w:pPr>
        <w:spacing w:before="100" w:beforeAutospacing="1" w:after="100" w:afterAutospacing="1"/>
        <w:ind w:firstLine="1920"/>
        <w:jc w:val="both"/>
        <w:rPr>
          <w:rFonts w:cs="Calibri"/>
        </w:rPr>
      </w:pPr>
    </w:p>
    <w:p w14:paraId="1A5C75BB" w14:textId="5EBEF832" w:rsidR="00785731" w:rsidRPr="000E552A" w:rsidRDefault="00785731" w:rsidP="000E552A">
      <w:pPr>
        <w:pStyle w:val="Ttulo2"/>
        <w:ind w:firstLine="1920"/>
        <w:jc w:val="right"/>
        <w:rPr>
          <w:rFonts w:ascii="Palatino Linotype" w:hAnsi="Palatino Linotype" w:cs="Calibri"/>
          <w:b w:val="0"/>
          <w:iCs/>
          <w:sz w:val="24"/>
          <w:szCs w:val="24"/>
        </w:rPr>
      </w:pPr>
      <w:r w:rsidRPr="000E552A">
        <w:rPr>
          <w:rFonts w:ascii="Palatino Linotype" w:hAnsi="Palatino Linotype" w:cs="Calibri"/>
          <w:b w:val="0"/>
          <w:iCs/>
          <w:sz w:val="24"/>
          <w:szCs w:val="24"/>
        </w:rPr>
        <w:t xml:space="preserve">Câmara Municipal </w:t>
      </w:r>
      <w:r w:rsidR="000E552A">
        <w:rPr>
          <w:rFonts w:ascii="Palatino Linotype" w:hAnsi="Palatino Linotype" w:cs="Calibri"/>
          <w:b w:val="0"/>
          <w:iCs/>
          <w:sz w:val="24"/>
          <w:szCs w:val="24"/>
        </w:rPr>
        <w:t xml:space="preserve">de </w:t>
      </w:r>
      <w:r w:rsidRPr="000E552A">
        <w:rPr>
          <w:rFonts w:ascii="Palatino Linotype" w:hAnsi="Palatino Linotype" w:cs="Calibri"/>
          <w:b w:val="0"/>
          <w:iCs/>
          <w:sz w:val="24"/>
          <w:szCs w:val="24"/>
        </w:rPr>
        <w:t xml:space="preserve">Nova Guarita-MT, </w:t>
      </w:r>
      <w:r w:rsidR="000E552A">
        <w:rPr>
          <w:rFonts w:ascii="Palatino Linotype" w:hAnsi="Palatino Linotype" w:cs="Calibri"/>
          <w:b w:val="0"/>
          <w:iCs/>
          <w:sz w:val="24"/>
          <w:szCs w:val="24"/>
        </w:rPr>
        <w:t>27 de março</w:t>
      </w:r>
      <w:r w:rsidRPr="000E552A">
        <w:rPr>
          <w:rFonts w:ascii="Palatino Linotype" w:hAnsi="Palatino Linotype" w:cs="Calibri"/>
          <w:b w:val="0"/>
          <w:iCs/>
          <w:sz w:val="24"/>
          <w:szCs w:val="24"/>
        </w:rPr>
        <w:t xml:space="preserve"> de 2023.</w:t>
      </w:r>
    </w:p>
    <w:p w14:paraId="681D41C0" w14:textId="77777777" w:rsidR="00785731" w:rsidRPr="00785731" w:rsidRDefault="00785731" w:rsidP="00785731">
      <w:pPr>
        <w:pStyle w:val="Ttulo2"/>
        <w:jc w:val="center"/>
        <w:rPr>
          <w:rFonts w:ascii="Calibri" w:hAnsi="Calibri" w:cs="Calibri"/>
          <w:sz w:val="24"/>
          <w:szCs w:val="24"/>
        </w:rPr>
      </w:pPr>
    </w:p>
    <w:p w14:paraId="45705324" w14:textId="77777777" w:rsidR="00785731" w:rsidRPr="00785731" w:rsidRDefault="00785731" w:rsidP="00785731">
      <w:pPr>
        <w:pStyle w:val="Ttulo2"/>
        <w:spacing w:before="0" w:beforeAutospacing="0" w:after="0" w:afterAutospacing="0" w:line="227" w:lineRule="atLeast"/>
        <w:jc w:val="center"/>
        <w:rPr>
          <w:rFonts w:ascii="Calibri" w:hAnsi="Calibri" w:cs="Calibri"/>
          <w:sz w:val="24"/>
          <w:szCs w:val="24"/>
        </w:rPr>
      </w:pPr>
    </w:p>
    <w:p w14:paraId="0132779B" w14:textId="7D7517C9" w:rsidR="00785731" w:rsidRPr="00785731" w:rsidRDefault="00785731" w:rsidP="00785731">
      <w:pPr>
        <w:pStyle w:val="SemEspaamento"/>
        <w:tabs>
          <w:tab w:val="left" w:pos="3402"/>
        </w:tabs>
        <w:jc w:val="center"/>
        <w:rPr>
          <w:rFonts w:ascii="Calibri" w:hAnsi="Calibri" w:cs="Calibri"/>
          <w:b/>
        </w:rPr>
      </w:pPr>
      <w:r w:rsidRPr="00785731">
        <w:rPr>
          <w:rFonts w:ascii="Calibri" w:hAnsi="Calibri" w:cs="Calibri"/>
          <w:b/>
        </w:rPr>
        <w:t>DIVINO PEREIRA GOMES                                  CEZAR ALVES FERREIRA</w:t>
      </w:r>
    </w:p>
    <w:p w14:paraId="08231B87" w14:textId="1268B176" w:rsidR="00785731" w:rsidRPr="00785731" w:rsidRDefault="00785731" w:rsidP="00785731">
      <w:pPr>
        <w:rPr>
          <w:rFonts w:cs="Calibri"/>
          <w:b/>
          <w:sz w:val="24"/>
          <w:szCs w:val="24"/>
        </w:rPr>
      </w:pPr>
      <w:r>
        <w:rPr>
          <w:rFonts w:cs="Calibri"/>
          <w:sz w:val="24"/>
          <w:szCs w:val="24"/>
        </w:rPr>
        <w:t xml:space="preserve">                              </w:t>
      </w:r>
      <w:r w:rsidRPr="00785731">
        <w:rPr>
          <w:rFonts w:cs="Calibri"/>
          <w:sz w:val="24"/>
          <w:szCs w:val="24"/>
        </w:rPr>
        <w:t>PRESIDENTE                                                          VICE-PRESIDENTE</w:t>
      </w:r>
    </w:p>
    <w:p w14:paraId="45E3AF95" w14:textId="77777777" w:rsidR="00785731" w:rsidRPr="00785731" w:rsidRDefault="00785731" w:rsidP="00785731">
      <w:pPr>
        <w:jc w:val="center"/>
        <w:rPr>
          <w:rFonts w:cs="Calibri"/>
          <w:b/>
          <w:sz w:val="24"/>
          <w:szCs w:val="24"/>
        </w:rPr>
      </w:pPr>
    </w:p>
    <w:p w14:paraId="4AD3CC8B" w14:textId="77777777" w:rsidR="00785731" w:rsidRPr="00785731" w:rsidRDefault="00785731" w:rsidP="00785731">
      <w:pPr>
        <w:jc w:val="center"/>
        <w:rPr>
          <w:rFonts w:cs="Calibri"/>
          <w:b/>
          <w:sz w:val="24"/>
          <w:szCs w:val="24"/>
        </w:rPr>
      </w:pPr>
    </w:p>
    <w:p w14:paraId="3A5AD7BF" w14:textId="77777777" w:rsidR="00785731" w:rsidRPr="00785731" w:rsidRDefault="00785731" w:rsidP="00785731">
      <w:pPr>
        <w:tabs>
          <w:tab w:val="left" w:pos="3969"/>
        </w:tabs>
        <w:jc w:val="center"/>
        <w:rPr>
          <w:rFonts w:cs="Calibri"/>
          <w:b/>
          <w:sz w:val="24"/>
          <w:szCs w:val="24"/>
        </w:rPr>
      </w:pPr>
    </w:p>
    <w:p w14:paraId="4A139FC4" w14:textId="4AF201B9" w:rsidR="00785731" w:rsidRPr="00785731" w:rsidRDefault="00785731" w:rsidP="00785731">
      <w:pPr>
        <w:tabs>
          <w:tab w:val="left" w:pos="3969"/>
        </w:tabs>
        <w:ind w:firstLine="567"/>
        <w:rPr>
          <w:rFonts w:cs="Calibri"/>
          <w:b/>
          <w:sz w:val="24"/>
          <w:szCs w:val="24"/>
        </w:rPr>
      </w:pPr>
      <w:r>
        <w:rPr>
          <w:rFonts w:cs="Calibri"/>
          <w:b/>
          <w:sz w:val="24"/>
          <w:szCs w:val="24"/>
        </w:rPr>
        <w:t xml:space="preserve">            </w:t>
      </w:r>
      <w:r w:rsidRPr="00785731">
        <w:rPr>
          <w:rFonts w:cs="Calibri"/>
          <w:b/>
          <w:sz w:val="24"/>
          <w:szCs w:val="24"/>
        </w:rPr>
        <w:t>KARINE GRUNEVALD                                            NEVAIR J.R DE ALMEIDA</w:t>
      </w:r>
    </w:p>
    <w:p w14:paraId="6DE4F2D3" w14:textId="08F2A6F5" w:rsidR="00785731" w:rsidRPr="00785731" w:rsidRDefault="00785731" w:rsidP="00785731">
      <w:pPr>
        <w:ind w:firstLine="567"/>
        <w:rPr>
          <w:rFonts w:cs="Calibri"/>
          <w:sz w:val="24"/>
          <w:szCs w:val="24"/>
        </w:rPr>
      </w:pPr>
      <w:r>
        <w:rPr>
          <w:rFonts w:cs="Calibri"/>
          <w:sz w:val="24"/>
          <w:szCs w:val="24"/>
        </w:rPr>
        <w:t xml:space="preserve">               </w:t>
      </w:r>
      <w:r w:rsidRPr="00785731">
        <w:rPr>
          <w:rFonts w:cs="Calibri"/>
          <w:sz w:val="24"/>
          <w:szCs w:val="24"/>
        </w:rPr>
        <w:t xml:space="preserve">1ª SECRETÁRIA                                           </w:t>
      </w:r>
      <w:r>
        <w:rPr>
          <w:rFonts w:cs="Calibri"/>
          <w:sz w:val="24"/>
          <w:szCs w:val="24"/>
        </w:rPr>
        <w:t xml:space="preserve">            </w:t>
      </w:r>
      <w:r w:rsidRPr="00785731">
        <w:rPr>
          <w:rFonts w:cs="Calibri"/>
          <w:sz w:val="24"/>
          <w:szCs w:val="24"/>
        </w:rPr>
        <w:t xml:space="preserve">  2ª SECRETÁRIO</w:t>
      </w:r>
    </w:p>
    <w:p w14:paraId="03447394" w14:textId="649C2770" w:rsidR="00785731" w:rsidRPr="00785731" w:rsidRDefault="00785731" w:rsidP="00785731">
      <w:pPr>
        <w:ind w:left="-142" w:hanging="1134"/>
        <w:jc w:val="center"/>
        <w:rPr>
          <w:rFonts w:cs="Calibri"/>
          <w:sz w:val="24"/>
          <w:szCs w:val="24"/>
        </w:rPr>
      </w:pPr>
    </w:p>
    <w:p w14:paraId="7412B008" w14:textId="77777777" w:rsidR="00785731" w:rsidRDefault="00785731" w:rsidP="00785731">
      <w:pPr>
        <w:rPr>
          <w:rFonts w:cs="Calibri"/>
        </w:rPr>
      </w:pPr>
    </w:p>
    <w:p w14:paraId="1E2C8476" w14:textId="77777777" w:rsidR="00E74336" w:rsidRPr="00B57F9C" w:rsidRDefault="00E74336" w:rsidP="00785731">
      <w:pPr>
        <w:spacing w:before="120" w:after="120" w:line="276" w:lineRule="auto"/>
        <w:ind w:firstLine="851"/>
        <w:jc w:val="both"/>
        <w:rPr>
          <w:rFonts w:ascii="Palatino Linotype" w:hAnsi="Palatino Linotype"/>
        </w:rPr>
      </w:pPr>
    </w:p>
    <w:sectPr w:rsidR="00E74336" w:rsidRPr="00B57F9C" w:rsidSect="008E760F">
      <w:pgSz w:w="11906" w:h="16838"/>
      <w:pgMar w:top="2977" w:right="1134" w:bottom="212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35B3" w14:textId="77777777" w:rsidR="003B5731" w:rsidRDefault="003B5731" w:rsidP="002D7B54">
      <w:r>
        <w:separator/>
      </w:r>
    </w:p>
  </w:endnote>
  <w:endnote w:type="continuationSeparator" w:id="0">
    <w:p w14:paraId="6855E1AB" w14:textId="77777777" w:rsidR="003B5731" w:rsidRDefault="003B5731" w:rsidP="002D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BB351" w14:textId="77777777" w:rsidR="003B5731" w:rsidRDefault="003B5731" w:rsidP="002D7B54">
      <w:r>
        <w:separator/>
      </w:r>
    </w:p>
  </w:footnote>
  <w:footnote w:type="continuationSeparator" w:id="0">
    <w:p w14:paraId="3725065B" w14:textId="77777777" w:rsidR="003B5731" w:rsidRDefault="003B5731" w:rsidP="002D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54"/>
    <w:rsid w:val="000A4F75"/>
    <w:rsid w:val="000E552A"/>
    <w:rsid w:val="001C4D76"/>
    <w:rsid w:val="002D7B54"/>
    <w:rsid w:val="00313AE5"/>
    <w:rsid w:val="003B5731"/>
    <w:rsid w:val="00435A07"/>
    <w:rsid w:val="00687C27"/>
    <w:rsid w:val="00745903"/>
    <w:rsid w:val="00785731"/>
    <w:rsid w:val="008E760F"/>
    <w:rsid w:val="00970F37"/>
    <w:rsid w:val="009722D0"/>
    <w:rsid w:val="00AF7ABB"/>
    <w:rsid w:val="00B57F9C"/>
    <w:rsid w:val="00B87DD2"/>
    <w:rsid w:val="00C06448"/>
    <w:rsid w:val="00DA1804"/>
    <w:rsid w:val="00E74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4DC27"/>
  <w15:chartTrackingRefBased/>
  <w15:docId w15:val="{8428FD2D-2990-4C19-B35B-B1F7C446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54"/>
    <w:pPr>
      <w:spacing w:after="0" w:line="240" w:lineRule="auto"/>
    </w:pPr>
    <w:rPr>
      <w:rFonts w:ascii="Calibri" w:eastAsia="Calibri" w:hAnsi="Calibri" w:cs="Arial"/>
      <w:sz w:val="20"/>
      <w:szCs w:val="20"/>
      <w:lang w:eastAsia="pt-BR"/>
    </w:rPr>
  </w:style>
  <w:style w:type="paragraph" w:styleId="Ttulo2">
    <w:name w:val="heading 2"/>
    <w:basedOn w:val="Normal"/>
    <w:link w:val="Ttulo2Char"/>
    <w:qFormat/>
    <w:rsid w:val="0078573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D7B54"/>
    <w:rPr>
      <w:color w:val="0000FF"/>
      <w:u w:val="single"/>
    </w:rPr>
  </w:style>
  <w:style w:type="character" w:styleId="Forte">
    <w:name w:val="Strong"/>
    <w:basedOn w:val="Fontepargpadro"/>
    <w:uiPriority w:val="22"/>
    <w:qFormat/>
    <w:rsid w:val="002D7B54"/>
    <w:rPr>
      <w:b/>
      <w:bCs/>
    </w:rPr>
  </w:style>
  <w:style w:type="paragraph" w:customStyle="1" w:styleId="aPARGRAFO12pt">
    <w:name w:val="a_PARÁGRAFO_12pt"/>
    <w:basedOn w:val="Normal"/>
    <w:rsid w:val="002D7B54"/>
    <w:pPr>
      <w:spacing w:before="240"/>
      <w:ind w:firstLine="851"/>
      <w:jc w:val="both"/>
    </w:pPr>
    <w:rPr>
      <w:rFonts w:ascii="Century Gothic" w:eastAsia="Arial Unicode MS" w:hAnsi="Century Gothic" w:cs="Times New Roman"/>
      <w:sz w:val="24"/>
      <w:szCs w:val="24"/>
      <w:lang w:val="x-none"/>
    </w:rPr>
  </w:style>
  <w:style w:type="paragraph" w:styleId="Cabealho">
    <w:name w:val="header"/>
    <w:basedOn w:val="Normal"/>
    <w:link w:val="CabealhoChar"/>
    <w:uiPriority w:val="99"/>
    <w:unhideWhenUsed/>
    <w:rsid w:val="002D7B54"/>
    <w:pPr>
      <w:tabs>
        <w:tab w:val="center" w:pos="4252"/>
        <w:tab w:val="right" w:pos="8504"/>
      </w:tabs>
    </w:pPr>
  </w:style>
  <w:style w:type="character" w:customStyle="1" w:styleId="CabealhoChar">
    <w:name w:val="Cabeçalho Char"/>
    <w:basedOn w:val="Fontepargpadro"/>
    <w:link w:val="Cabealho"/>
    <w:uiPriority w:val="99"/>
    <w:rsid w:val="002D7B54"/>
    <w:rPr>
      <w:rFonts w:ascii="Calibri" w:eastAsia="Calibri" w:hAnsi="Calibri" w:cs="Arial"/>
      <w:sz w:val="20"/>
      <w:szCs w:val="20"/>
      <w:lang w:eastAsia="pt-BR"/>
    </w:rPr>
  </w:style>
  <w:style w:type="paragraph" w:styleId="Rodap">
    <w:name w:val="footer"/>
    <w:basedOn w:val="Normal"/>
    <w:link w:val="RodapChar"/>
    <w:uiPriority w:val="99"/>
    <w:unhideWhenUsed/>
    <w:rsid w:val="002D7B54"/>
    <w:pPr>
      <w:tabs>
        <w:tab w:val="center" w:pos="4252"/>
        <w:tab w:val="right" w:pos="8504"/>
      </w:tabs>
    </w:pPr>
  </w:style>
  <w:style w:type="character" w:customStyle="1" w:styleId="RodapChar">
    <w:name w:val="Rodapé Char"/>
    <w:basedOn w:val="Fontepargpadro"/>
    <w:link w:val="Rodap"/>
    <w:uiPriority w:val="99"/>
    <w:rsid w:val="002D7B54"/>
    <w:rPr>
      <w:rFonts w:ascii="Calibri" w:eastAsia="Calibri" w:hAnsi="Calibri" w:cs="Arial"/>
      <w:sz w:val="20"/>
      <w:szCs w:val="20"/>
      <w:lang w:eastAsia="pt-BR"/>
    </w:rPr>
  </w:style>
  <w:style w:type="paragraph" w:styleId="Ttulo">
    <w:name w:val="Title"/>
    <w:basedOn w:val="Normal"/>
    <w:link w:val="TtuloChar"/>
    <w:qFormat/>
    <w:rsid w:val="00785731"/>
    <w:pPr>
      <w:spacing w:before="100" w:beforeAutospacing="1" w:after="100" w:afterAutospacing="1"/>
    </w:pPr>
    <w:rPr>
      <w:rFonts w:ascii="Arial Unicode MS" w:eastAsia="Arial Unicode MS" w:hAnsi="Arial Unicode MS" w:cs="Arial Unicode MS"/>
      <w:sz w:val="24"/>
      <w:szCs w:val="24"/>
    </w:rPr>
  </w:style>
  <w:style w:type="character" w:customStyle="1" w:styleId="TtuloChar">
    <w:name w:val="Título Char"/>
    <w:basedOn w:val="Fontepargpadro"/>
    <w:link w:val="Ttulo"/>
    <w:rsid w:val="00785731"/>
    <w:rPr>
      <w:rFonts w:ascii="Arial Unicode MS" w:eastAsia="Arial Unicode MS" w:hAnsi="Arial Unicode MS" w:cs="Arial Unicode MS"/>
      <w:sz w:val="24"/>
      <w:szCs w:val="24"/>
      <w:lang w:eastAsia="pt-BR"/>
    </w:rPr>
  </w:style>
  <w:style w:type="character" w:customStyle="1" w:styleId="Ttulo2Char">
    <w:name w:val="Título 2 Char"/>
    <w:basedOn w:val="Fontepargpadro"/>
    <w:link w:val="Ttulo2"/>
    <w:rsid w:val="00785731"/>
    <w:rPr>
      <w:rFonts w:ascii="Arial Unicode MS" w:eastAsia="Arial Unicode MS" w:hAnsi="Arial Unicode MS" w:cs="Arial Unicode MS"/>
      <w:b/>
      <w:bCs/>
      <w:sz w:val="36"/>
      <w:szCs w:val="36"/>
      <w:lang w:eastAsia="pt-BR"/>
    </w:rPr>
  </w:style>
  <w:style w:type="paragraph" w:styleId="SemEspaamento">
    <w:name w:val="No Spacing"/>
    <w:uiPriority w:val="1"/>
    <w:qFormat/>
    <w:rsid w:val="007857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E552A"/>
    <w:rPr>
      <w:rFonts w:ascii="Segoe UI" w:hAnsi="Segoe UI" w:cs="Segoe UI"/>
      <w:sz w:val="18"/>
      <w:szCs w:val="18"/>
    </w:rPr>
  </w:style>
  <w:style w:type="character" w:customStyle="1" w:styleId="TextodebaloChar">
    <w:name w:val="Texto de balão Char"/>
    <w:basedOn w:val="Fontepargpadro"/>
    <w:link w:val="Textodebalo"/>
    <w:uiPriority w:val="99"/>
    <w:semiHidden/>
    <w:rsid w:val="000E552A"/>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_ato2019-2022/2021/lei/l1413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1289</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rebuli</dc:creator>
  <cp:keywords/>
  <dc:description/>
  <cp:lastModifiedBy>Acer</cp:lastModifiedBy>
  <cp:revision>3</cp:revision>
  <cp:lastPrinted>2023-03-27T13:44:00Z</cp:lastPrinted>
  <dcterms:created xsi:type="dcterms:W3CDTF">2023-03-27T12:56:00Z</dcterms:created>
  <dcterms:modified xsi:type="dcterms:W3CDTF">2023-03-27T14:28:00Z</dcterms:modified>
</cp:coreProperties>
</file>